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D2AB8" w14:textId="77777777" w:rsidR="00440A49" w:rsidRPr="00291D9E" w:rsidRDefault="00440A49" w:rsidP="009E56A2">
      <w:pPr>
        <w:pStyle w:val="NormalWeb"/>
        <w:spacing w:before="0" w:beforeAutospacing="0" w:after="0" w:afterAutospacing="0"/>
        <w:jc w:val="center"/>
        <w:rPr>
          <w:rFonts w:ascii="Arial" w:hAnsi="Arial" w:cs="Arial"/>
          <w:b/>
          <w:bCs/>
          <w:sz w:val="28"/>
          <w:szCs w:val="28"/>
        </w:rPr>
      </w:pPr>
      <w:r w:rsidRPr="00291D9E">
        <w:rPr>
          <w:rFonts w:ascii="Arial" w:hAnsi="Arial" w:cs="Arial"/>
          <w:b/>
          <w:bCs/>
          <w:sz w:val="28"/>
          <w:szCs w:val="28"/>
        </w:rPr>
        <w:t>Diagnóstico del Sistema de Innovación Territorial en Colombia: Identificación de Desafíos y Oportunidades para el Desarrollo Regional</w:t>
      </w:r>
    </w:p>
    <w:p w14:paraId="2F8C8C71" w14:textId="77777777" w:rsidR="009E56A2" w:rsidRPr="00291D9E" w:rsidRDefault="009E56A2" w:rsidP="009E56A2">
      <w:pPr>
        <w:pStyle w:val="NormalWeb"/>
        <w:spacing w:before="0" w:beforeAutospacing="0" w:after="0" w:afterAutospacing="0"/>
        <w:jc w:val="center"/>
        <w:rPr>
          <w:rFonts w:ascii="Arial" w:hAnsi="Arial" w:cs="Arial"/>
          <w:b/>
          <w:bCs/>
          <w:sz w:val="28"/>
          <w:szCs w:val="28"/>
        </w:rPr>
      </w:pPr>
    </w:p>
    <w:p w14:paraId="3DF49C59" w14:textId="77777777" w:rsidR="00440A49" w:rsidRPr="00291D9E" w:rsidRDefault="00440A49" w:rsidP="00440A49">
      <w:pPr>
        <w:pStyle w:val="NormalWeb"/>
        <w:spacing w:before="0" w:beforeAutospacing="0" w:after="0" w:afterAutospacing="0"/>
        <w:jc w:val="center"/>
        <w:rPr>
          <w:rFonts w:ascii="Arial" w:hAnsi="Arial" w:cs="Arial"/>
          <w:b/>
          <w:bCs/>
          <w:sz w:val="28"/>
          <w:szCs w:val="28"/>
          <w:lang w:val="en-US"/>
        </w:rPr>
      </w:pPr>
      <w:r w:rsidRPr="00291D9E">
        <w:rPr>
          <w:rFonts w:ascii="Arial" w:hAnsi="Arial" w:cs="Arial"/>
          <w:b/>
          <w:bCs/>
          <w:sz w:val="28"/>
          <w:szCs w:val="28"/>
          <w:lang w:val="en-US"/>
        </w:rPr>
        <w:t>Diagnosis of the Territorial Innovation System in Colombia: Identification of Challenges and Opportunities for Regional Development</w:t>
      </w:r>
    </w:p>
    <w:p w14:paraId="4CB6DD03" w14:textId="77777777" w:rsidR="00440A49" w:rsidRPr="00291D9E" w:rsidRDefault="00440A49" w:rsidP="00291D9E">
      <w:pPr>
        <w:spacing w:after="0" w:line="240" w:lineRule="auto"/>
        <w:rPr>
          <w:rFonts w:ascii="Arial" w:hAnsi="Arial" w:cs="Arial"/>
          <w:b/>
          <w:bCs/>
          <w:sz w:val="28"/>
          <w:szCs w:val="28"/>
          <w:lang w:val="en-US"/>
        </w:rPr>
      </w:pPr>
    </w:p>
    <w:p w14:paraId="1E49A0B9" w14:textId="77777777" w:rsidR="00440A49" w:rsidRPr="00291D9E" w:rsidRDefault="00440A49" w:rsidP="00440A49">
      <w:pPr>
        <w:spacing w:after="0" w:line="240" w:lineRule="auto"/>
        <w:jc w:val="center"/>
        <w:rPr>
          <w:rFonts w:ascii="Arial" w:hAnsi="Arial" w:cs="Arial"/>
          <w:b/>
          <w:sz w:val="24"/>
          <w:szCs w:val="24"/>
          <w:lang w:val="en-US"/>
        </w:rPr>
      </w:pPr>
    </w:p>
    <w:p w14:paraId="34F39D24" w14:textId="7614A6E6" w:rsidR="00440A49" w:rsidRPr="00291D9E" w:rsidRDefault="00440A49" w:rsidP="00291D9E">
      <w:pPr>
        <w:spacing w:after="0" w:line="240" w:lineRule="auto"/>
        <w:jc w:val="center"/>
        <w:rPr>
          <w:rFonts w:ascii="Arial" w:hAnsi="Arial" w:cs="Arial"/>
          <w:bCs/>
          <w:sz w:val="24"/>
          <w:szCs w:val="24"/>
        </w:rPr>
      </w:pPr>
      <w:r w:rsidRPr="00291D9E">
        <w:rPr>
          <w:rFonts w:ascii="Arial" w:hAnsi="Arial" w:cs="Arial"/>
          <w:sz w:val="24"/>
          <w:szCs w:val="24"/>
        </w:rPr>
        <w:t>María José Vallejo Martínez</w:t>
      </w:r>
    </w:p>
    <w:p w14:paraId="00E02CE0" w14:textId="77777777" w:rsidR="00440A49" w:rsidRPr="00291D9E" w:rsidRDefault="00440A49" w:rsidP="00440A49">
      <w:pPr>
        <w:spacing w:after="0" w:line="240" w:lineRule="auto"/>
        <w:rPr>
          <w:rFonts w:ascii="Arial" w:hAnsi="Arial" w:cs="Arial"/>
          <w:b/>
          <w:sz w:val="24"/>
          <w:szCs w:val="24"/>
        </w:rPr>
      </w:pPr>
    </w:p>
    <w:p w14:paraId="33262E3B" w14:textId="77777777" w:rsidR="00440A49" w:rsidRPr="00291D9E" w:rsidRDefault="00440A49" w:rsidP="00440A49">
      <w:pPr>
        <w:spacing w:after="0" w:line="240" w:lineRule="auto"/>
        <w:rPr>
          <w:rFonts w:ascii="Arial" w:hAnsi="Arial" w:cs="Arial"/>
          <w:b/>
          <w:sz w:val="24"/>
          <w:szCs w:val="24"/>
        </w:rPr>
      </w:pPr>
    </w:p>
    <w:p w14:paraId="5AC86D01" w14:textId="77777777" w:rsidR="00440A49" w:rsidRPr="00291D9E" w:rsidRDefault="00440A49" w:rsidP="00440A49">
      <w:pPr>
        <w:spacing w:after="0" w:line="240" w:lineRule="auto"/>
        <w:jc w:val="both"/>
        <w:rPr>
          <w:rFonts w:ascii="Arial" w:hAnsi="Arial" w:cs="Arial"/>
          <w:b/>
          <w:sz w:val="24"/>
          <w:szCs w:val="24"/>
        </w:rPr>
      </w:pPr>
      <w:bookmarkStart w:id="0" w:name="_Hlk194571813"/>
      <w:r w:rsidRPr="00291D9E">
        <w:rPr>
          <w:rFonts w:ascii="Arial" w:hAnsi="Arial" w:cs="Arial"/>
          <w:b/>
          <w:sz w:val="24"/>
          <w:szCs w:val="24"/>
        </w:rPr>
        <w:t>Resumen</w:t>
      </w:r>
    </w:p>
    <w:p w14:paraId="6B84FC05" w14:textId="77777777" w:rsidR="00265B74" w:rsidRPr="00265B74" w:rsidRDefault="00265B74" w:rsidP="00265B74">
      <w:pPr>
        <w:spacing w:before="100" w:beforeAutospacing="1" w:after="100" w:afterAutospacing="1" w:line="240" w:lineRule="auto"/>
        <w:rPr>
          <w:rFonts w:ascii="Arial" w:eastAsia="Times New Roman" w:hAnsi="Arial" w:cs="Arial"/>
          <w:sz w:val="24"/>
          <w:szCs w:val="24"/>
        </w:rPr>
      </w:pPr>
      <w:r w:rsidRPr="00265B74">
        <w:rPr>
          <w:rFonts w:ascii="Arial" w:eastAsia="Times New Roman" w:hAnsi="Arial" w:cs="Arial"/>
          <w:sz w:val="24"/>
          <w:szCs w:val="24"/>
        </w:rPr>
        <w:t>Este trabajo de investigación tiene como objetivo diagnosticar el estado actual del sistema de innovación territorial en Colombia, mediante una revisión bibliográfica, análisis bibliométrico y categorización de actores clave por departamento. Utilizando un enfoque cualitativo y descriptivo, se identificaron barreras estructurales como la débil articulación entre actores, baja inversión en I+D, disparidades regionales y limitada infraestructura. A través de la metodología de redes sociales y el uso de indicadores como el Índice Departamental de Innovación, se elaboró una matriz DOFA para cada territorio, evidenciando la desigualdad en capacidades de innovación. El estudio destaca la necesidad de fortalecer la gobernanza, mejorar la colaboración interinstitucional y promover estrategias de especialización inteligente que aprovechen los recursos locales. Como resultado, se construyó una base de datos nacional por departamento con actores e indicadores clave, aportando una herramienta para orientar políticas públicas que impulsen ecosistemas de innovación más equitativos, sostenibles y competitivos en el país.</w:t>
      </w:r>
    </w:p>
    <w:p w14:paraId="3F58D003" w14:textId="77777777" w:rsidR="00F422E2" w:rsidRPr="00291D9E" w:rsidRDefault="00F422E2" w:rsidP="00440A49">
      <w:pPr>
        <w:spacing w:after="0" w:line="240" w:lineRule="auto"/>
        <w:jc w:val="both"/>
        <w:rPr>
          <w:rFonts w:ascii="Arial" w:hAnsi="Arial" w:cs="Arial"/>
          <w:sz w:val="24"/>
          <w:szCs w:val="24"/>
        </w:rPr>
      </w:pPr>
    </w:p>
    <w:p w14:paraId="27443827" w14:textId="1068F03A" w:rsidR="00F422E2" w:rsidRPr="00291D9E" w:rsidRDefault="00440A49" w:rsidP="00440A49">
      <w:pPr>
        <w:spacing w:after="0" w:line="240" w:lineRule="auto"/>
        <w:jc w:val="both"/>
        <w:rPr>
          <w:rFonts w:ascii="Arial" w:hAnsi="Arial" w:cs="Arial"/>
          <w:sz w:val="24"/>
          <w:szCs w:val="24"/>
        </w:rPr>
      </w:pPr>
      <w:r w:rsidRPr="00291D9E">
        <w:rPr>
          <w:rFonts w:ascii="Arial" w:hAnsi="Arial" w:cs="Arial"/>
          <w:b/>
          <w:bCs/>
          <w:sz w:val="24"/>
          <w:szCs w:val="24"/>
        </w:rPr>
        <w:t>Objetivo:</w:t>
      </w:r>
      <w:r w:rsidRPr="00291D9E">
        <w:rPr>
          <w:rFonts w:ascii="Arial" w:hAnsi="Arial" w:cs="Arial"/>
          <w:sz w:val="24"/>
          <w:szCs w:val="24"/>
        </w:rPr>
        <w:t xml:space="preserve">  </w:t>
      </w:r>
    </w:p>
    <w:p w14:paraId="3EC7409D" w14:textId="5AE0CFB4" w:rsidR="00265B74" w:rsidRPr="00291D9E" w:rsidRDefault="00265B74" w:rsidP="00265B74">
      <w:pPr>
        <w:spacing w:before="100" w:beforeAutospacing="1" w:after="100" w:afterAutospacing="1" w:line="240" w:lineRule="auto"/>
        <w:rPr>
          <w:rFonts w:ascii="Arial" w:eastAsia="Times New Roman" w:hAnsi="Arial" w:cs="Arial"/>
          <w:sz w:val="24"/>
          <w:szCs w:val="24"/>
        </w:rPr>
      </w:pPr>
      <w:r w:rsidRPr="00291D9E">
        <w:rPr>
          <w:rFonts w:ascii="Arial" w:eastAsia="Times New Roman" w:hAnsi="Arial" w:cs="Arial"/>
          <w:sz w:val="24"/>
          <w:szCs w:val="24"/>
        </w:rPr>
        <w:t>El objetivo principal de este proyecto es realizar un diagnóstico del estado actual del sistema de innovación territorial en Colombia, con el fin de identificar los desafíos y oportunidades que enfrentan los distintos territorios para impulsar su desarrollo regional. A partir de esta premisa, la investigación parte de la hipótesis de que existen grandes variaciones en las capacidades de innovación entre los departamentos del país, causadas por una estructura desigual en términos de infraestructura, talento humano y acceso a financiamiento. Estas disparidades afectan la articulación entre los actores del sistema —academia, sector productivo, gobierno y sociedad civil— y limitan la efectividad de las políticas públicas en materia de ciencia, tecnología e innovación. Por ello, el diagnóstico busca generar una comprensión profunda del funcionamiento territorial del sistema, con el propósito de proponer estrategias que contribuyan a un entorno más equitativo, colaborativo y competitivo en las regiones colombianas.</w:t>
      </w:r>
    </w:p>
    <w:p w14:paraId="6EFE65B1" w14:textId="7D0697A8" w:rsidR="00440A49" w:rsidRPr="00291D9E" w:rsidRDefault="00440A49" w:rsidP="00440A49">
      <w:pPr>
        <w:spacing w:after="0" w:line="240" w:lineRule="auto"/>
        <w:jc w:val="both"/>
        <w:rPr>
          <w:rFonts w:ascii="Arial" w:hAnsi="Arial" w:cs="Arial"/>
          <w:sz w:val="24"/>
          <w:szCs w:val="24"/>
        </w:rPr>
      </w:pPr>
    </w:p>
    <w:p w14:paraId="3286F135" w14:textId="7D07EEF1" w:rsidR="006A7C35" w:rsidRPr="00922983" w:rsidRDefault="00440A49" w:rsidP="006A7C35">
      <w:pPr>
        <w:spacing w:before="100" w:beforeAutospacing="1" w:after="100" w:afterAutospacing="1" w:line="240" w:lineRule="auto"/>
        <w:rPr>
          <w:rFonts w:ascii="Arial" w:eastAsia="Times New Roman" w:hAnsi="Arial" w:cs="Arial"/>
          <w:sz w:val="24"/>
          <w:szCs w:val="24"/>
        </w:rPr>
      </w:pPr>
      <w:r w:rsidRPr="00291D9E">
        <w:rPr>
          <w:rFonts w:ascii="Arial" w:hAnsi="Arial" w:cs="Arial"/>
          <w:b/>
          <w:bCs/>
          <w:sz w:val="24"/>
          <w:szCs w:val="24"/>
        </w:rPr>
        <w:lastRenderedPageBreak/>
        <w:t>Metodología o método</w:t>
      </w:r>
      <w:r w:rsidR="006A7C35" w:rsidRPr="00291D9E">
        <w:rPr>
          <w:rFonts w:ascii="Arial" w:eastAsia="Times New Roman" w:hAnsi="Arial" w:cs="Arial"/>
          <w:sz w:val="24"/>
          <w:szCs w:val="24"/>
        </w:rPr>
        <w:t xml:space="preserve"> </w:t>
      </w:r>
      <w:r w:rsidR="006A7C35" w:rsidRPr="00922983">
        <w:rPr>
          <w:rFonts w:ascii="Arial" w:eastAsia="Times New Roman" w:hAnsi="Arial" w:cs="Arial"/>
          <w:sz w:val="24"/>
          <w:szCs w:val="24"/>
        </w:rPr>
        <w:t>El estudio se realizó utilizando un enfoque descriptivo y cualitativo, estructurado en varias fases claramente definidas. En la primera fase, se llevó a cabo una inmersión inicial mediante una revisión preliminar de literatura científica y literatura gris, con el objetivo de identificar términos clave y construir una ecuación de búsqueda para consultas avanzadas. Posteriormente, se desarrolló un análisis bibliométrico utilizando la herramienta VOSviewer y la base de datos Scopus, permitiendo evaluar la producción científica sobre sistemas de innovación territorial a nivel nacional e internacional, así como determinar tendencias, actores clave y áreas de conocimiento predominantes.</w:t>
      </w:r>
    </w:p>
    <w:p w14:paraId="7DE0564B" w14:textId="77777777" w:rsidR="006A7C35" w:rsidRPr="00922983" w:rsidRDefault="006A7C35" w:rsidP="006A7C35">
      <w:pPr>
        <w:spacing w:before="100" w:beforeAutospacing="1" w:after="100" w:afterAutospacing="1" w:line="240" w:lineRule="auto"/>
        <w:rPr>
          <w:rFonts w:ascii="Arial" w:eastAsia="Times New Roman" w:hAnsi="Arial" w:cs="Arial"/>
          <w:sz w:val="24"/>
          <w:szCs w:val="24"/>
        </w:rPr>
      </w:pPr>
      <w:r w:rsidRPr="00922983">
        <w:rPr>
          <w:rFonts w:ascii="Arial" w:eastAsia="Times New Roman" w:hAnsi="Arial" w:cs="Arial"/>
          <w:sz w:val="24"/>
          <w:szCs w:val="24"/>
        </w:rPr>
        <w:t>La tercera fase consistió en el análisis de redes sociales para explorar las dinámicas de interacción entre los actores principales del sistema de innovación territorial colombiano, identificando su nivel de influencia y cooperación. Seguidamente, se creó una base de datos estructurada que incluye universidades, centros de investigación, empresas innovadoras y entidades gubernamentales de los 32 departamentos colombianos.</w:t>
      </w:r>
    </w:p>
    <w:p w14:paraId="30903BB3" w14:textId="7B8740CD" w:rsidR="00440A49" w:rsidRPr="00291D9E" w:rsidRDefault="006A7C35" w:rsidP="00656A48">
      <w:pPr>
        <w:spacing w:before="100" w:beforeAutospacing="1" w:after="100" w:afterAutospacing="1" w:line="240" w:lineRule="auto"/>
        <w:rPr>
          <w:rFonts w:ascii="Arial" w:eastAsia="Times New Roman" w:hAnsi="Arial" w:cs="Arial"/>
          <w:sz w:val="24"/>
          <w:szCs w:val="24"/>
        </w:rPr>
      </w:pPr>
      <w:r w:rsidRPr="00922983">
        <w:rPr>
          <w:rFonts w:ascii="Arial" w:eastAsia="Times New Roman" w:hAnsi="Arial" w:cs="Arial"/>
          <w:sz w:val="24"/>
          <w:szCs w:val="24"/>
        </w:rPr>
        <w:t>Finalmente, se realizó un diagnóstico integral de las capacidades innovadoras regionales mediante el análisis comparativo de indicadores de competitividad, infraestructura tecnológica, recursos humanos y financieros. El diagnóstico se complementó con una matriz DOFA, identificando fortalezas, debilidades, oportunidades y amenazas del sistema actual, estableciendo así las bases para recomendaciones estratégicas.</w:t>
      </w:r>
    </w:p>
    <w:p w14:paraId="39982415" w14:textId="423FB069" w:rsidR="008A672F" w:rsidRPr="00291D9E" w:rsidRDefault="00440A49" w:rsidP="008A672F">
      <w:pPr>
        <w:spacing w:before="100" w:beforeAutospacing="1" w:after="100" w:afterAutospacing="1" w:line="240" w:lineRule="auto"/>
        <w:rPr>
          <w:rFonts w:ascii="Arial" w:eastAsia="Times New Roman" w:hAnsi="Arial" w:cs="Arial"/>
          <w:sz w:val="24"/>
          <w:szCs w:val="24"/>
        </w:rPr>
      </w:pPr>
      <w:r w:rsidRPr="00291D9E">
        <w:rPr>
          <w:rFonts w:ascii="Arial" w:hAnsi="Arial" w:cs="Arial"/>
          <w:b/>
          <w:bCs/>
          <w:sz w:val="24"/>
          <w:szCs w:val="24"/>
        </w:rPr>
        <w:t>Resultados:</w:t>
      </w:r>
      <w:r w:rsidR="006A7C35" w:rsidRPr="00291D9E">
        <w:rPr>
          <w:rFonts w:ascii="Arial" w:hAnsi="Arial" w:cs="Arial"/>
          <w:b/>
          <w:bCs/>
          <w:sz w:val="24"/>
          <w:szCs w:val="24"/>
        </w:rPr>
        <w:t xml:space="preserve"> </w:t>
      </w:r>
      <w:r w:rsidRPr="00291D9E">
        <w:rPr>
          <w:rFonts w:ascii="Arial" w:hAnsi="Arial" w:cs="Arial"/>
          <w:sz w:val="24"/>
          <w:szCs w:val="24"/>
        </w:rPr>
        <w:t xml:space="preserve"> </w:t>
      </w:r>
      <w:r w:rsidR="008A672F" w:rsidRPr="00291D9E">
        <w:rPr>
          <w:rFonts w:ascii="Arial" w:eastAsia="Times New Roman" w:hAnsi="Arial" w:cs="Arial"/>
          <w:sz w:val="24"/>
          <w:szCs w:val="24"/>
        </w:rPr>
        <w:t>El presente estudio arrojó como primer resultado una visión amplia del estado del arte sobre los sistemas de innovación territorial a partir de un análisis bibliométrico realizado con más de 2.700 artículos científicos extraídos de la base de datos SCOPUS. Se evidenció que Colombia tiene una participación limitada en la producción científica relacionada, representando apenas el 2% de los artículos analizados. Asimismo, el análisis de redes realizado con VOSviewer reveló que las áreas predominantes en este campo son negocios y administración (37.9 %), economía (20.6 %) e ingeniería (13.8 %), lo cual indica un enfoque empresarial y tecnológico en los estudios actuales sobre innovación territorial.</w:t>
      </w:r>
    </w:p>
    <w:p w14:paraId="1CACFEDD" w14:textId="0E1A6D75" w:rsidR="008A672F" w:rsidRPr="008A672F" w:rsidRDefault="008A672F" w:rsidP="008A672F">
      <w:pPr>
        <w:spacing w:before="100" w:beforeAutospacing="1" w:after="100" w:afterAutospacing="1" w:line="240" w:lineRule="auto"/>
        <w:rPr>
          <w:rFonts w:ascii="Arial" w:eastAsia="Times New Roman" w:hAnsi="Arial" w:cs="Arial"/>
          <w:sz w:val="24"/>
          <w:szCs w:val="24"/>
        </w:rPr>
      </w:pPr>
      <w:r w:rsidRPr="008A672F">
        <w:rPr>
          <w:rFonts w:ascii="Arial" w:eastAsia="Times New Roman" w:hAnsi="Arial" w:cs="Arial"/>
          <w:sz w:val="24"/>
          <w:szCs w:val="24"/>
        </w:rPr>
        <w:t xml:space="preserve">Posteriormente, se realizó un proceso de triangulación de información a partir de literatura científica, documentos institucionales y fuentes no indexadas, lo que permitió identificar y categorizar a los actores principales del sistema de innovación colombiano. Estos fueron clasificados bajo el modelo de la Cuádruple Hélice, comprendiendo a la academia, el sector productivo, el gobierno y la sociedad civil. Esta caracterización evidenció una alta concentración de actores en departamentos como Antioquia, Bogotá y Valle del Cauca, y una limitada presencia en regiones periféricas como Vaupés y Guainía </w:t>
      </w:r>
    </w:p>
    <w:p w14:paraId="33BA37D5" w14:textId="39494F60" w:rsidR="008A672F" w:rsidRPr="008A672F" w:rsidRDefault="008A672F" w:rsidP="008A672F">
      <w:pPr>
        <w:spacing w:before="100" w:beforeAutospacing="1" w:after="100" w:afterAutospacing="1" w:line="240" w:lineRule="auto"/>
        <w:rPr>
          <w:rFonts w:ascii="Arial" w:eastAsia="Times New Roman" w:hAnsi="Arial" w:cs="Arial"/>
          <w:sz w:val="24"/>
          <w:szCs w:val="24"/>
        </w:rPr>
      </w:pPr>
      <w:r w:rsidRPr="008A672F">
        <w:rPr>
          <w:rFonts w:ascii="Arial" w:eastAsia="Times New Roman" w:hAnsi="Arial" w:cs="Arial"/>
          <w:sz w:val="24"/>
          <w:szCs w:val="24"/>
        </w:rPr>
        <w:t xml:space="preserve">Adicionalmente, se desarrolló un diagnóstico de capacidades de innovación a nivel departamental, utilizando indicadores como el Índice Departamental de Innovación, el ranking de innovación de la ANDI y la Encuesta de Desarrollo e Innovación Empresarial (EDIT). Este análisis permitió evaluar tres dimensiones clave: infraestructura, talento humano y financiamiento. Se observó que departamentos como Cundinamarca, </w:t>
      </w:r>
      <w:r w:rsidRPr="008A672F">
        <w:rPr>
          <w:rFonts w:ascii="Arial" w:eastAsia="Times New Roman" w:hAnsi="Arial" w:cs="Arial"/>
          <w:sz w:val="24"/>
          <w:szCs w:val="24"/>
        </w:rPr>
        <w:lastRenderedPageBreak/>
        <w:t xml:space="preserve">Santander y Antioquia presentan fortalezas notables, mientras que otros, especialmente en regiones rurales y apartadas, enfrentan serias limitaciones en infraestructura tecnológica y formación especializada </w:t>
      </w:r>
    </w:p>
    <w:p w14:paraId="284F1A5F" w14:textId="75EF6352" w:rsidR="00440A49" w:rsidRPr="00291D9E" w:rsidRDefault="008A672F" w:rsidP="00656A48">
      <w:pPr>
        <w:spacing w:before="100" w:beforeAutospacing="1" w:after="100" w:afterAutospacing="1" w:line="240" w:lineRule="auto"/>
        <w:rPr>
          <w:rFonts w:ascii="Arial" w:eastAsia="Times New Roman" w:hAnsi="Arial" w:cs="Arial"/>
          <w:sz w:val="24"/>
          <w:szCs w:val="24"/>
        </w:rPr>
      </w:pPr>
      <w:r w:rsidRPr="008A672F">
        <w:rPr>
          <w:rFonts w:ascii="Arial" w:eastAsia="Times New Roman" w:hAnsi="Arial" w:cs="Arial"/>
          <w:sz w:val="24"/>
          <w:szCs w:val="24"/>
        </w:rPr>
        <w:t xml:space="preserve">Finalmente, se diseñó una matriz DOFA para cada departamento, permitiendo identificar fortalezas y debilidades, así como amenazas y oportunidades del sistema de innovación territorial colombiano. Entre los principales desafíos identificados destacan la débil articulación entre actores, la baja inversión regional en I+D y la limitada apropiación del concepto de innovación por parte de muchos agentes. No obstante, se reconocen oportunidades en sectores estratégicos como la agroindustria, las energías renovables y el turismo sostenible, que podrían aprovecharse mediante estrategias de especialización inteligente </w:t>
      </w:r>
    </w:p>
    <w:p w14:paraId="2648338A" w14:textId="77777777" w:rsidR="00656A48" w:rsidRPr="00291D9E" w:rsidRDefault="00440A49" w:rsidP="00656A48">
      <w:pPr>
        <w:spacing w:before="100" w:beforeAutospacing="1" w:after="100" w:afterAutospacing="1" w:line="240" w:lineRule="auto"/>
        <w:rPr>
          <w:rFonts w:ascii="Arial" w:eastAsia="Times New Roman" w:hAnsi="Arial" w:cs="Arial"/>
          <w:sz w:val="24"/>
          <w:szCs w:val="24"/>
        </w:rPr>
      </w:pPr>
      <w:r w:rsidRPr="00291D9E">
        <w:rPr>
          <w:rFonts w:ascii="Arial" w:hAnsi="Arial" w:cs="Arial"/>
          <w:b/>
          <w:bCs/>
          <w:sz w:val="24"/>
          <w:szCs w:val="24"/>
        </w:rPr>
        <w:t>Conclusiones:</w:t>
      </w:r>
      <w:r w:rsidRPr="00291D9E">
        <w:rPr>
          <w:rFonts w:ascii="Arial" w:hAnsi="Arial" w:cs="Arial"/>
          <w:sz w:val="24"/>
          <w:szCs w:val="24"/>
        </w:rPr>
        <w:t xml:space="preserve"> </w:t>
      </w:r>
      <w:r w:rsidR="00656A48" w:rsidRPr="00291D9E">
        <w:rPr>
          <w:rFonts w:ascii="Arial" w:eastAsia="Times New Roman" w:hAnsi="Arial" w:cs="Arial"/>
          <w:sz w:val="24"/>
          <w:szCs w:val="24"/>
        </w:rPr>
        <w:t>Los resultados obtenidos en esta investigación permiten concluir que el sistema de innovación territorial en Colombia presenta marcadas desigualdades regionales que comprometen su eficacia como herramienta para el desarrollo económico y social. A partir del análisis bibliométrico se evidenció una limitada producción científica nacional sobre esta temática, lo que pone de manifiesto la escasa apropiación conceptual del enfoque territorial de la innovación en el país. Esta debilidad teórica limita la capacidad de los territorios para diseñar políticas públicas basadas en evidencia.</w:t>
      </w:r>
    </w:p>
    <w:p w14:paraId="3AEDF532" w14:textId="77777777" w:rsidR="00656A48" w:rsidRPr="00656A48" w:rsidRDefault="00656A48" w:rsidP="00656A48">
      <w:pPr>
        <w:spacing w:before="100" w:beforeAutospacing="1" w:after="100" w:afterAutospacing="1" w:line="240" w:lineRule="auto"/>
        <w:rPr>
          <w:rFonts w:ascii="Arial" w:eastAsia="Times New Roman" w:hAnsi="Arial" w:cs="Arial"/>
          <w:sz w:val="24"/>
          <w:szCs w:val="24"/>
        </w:rPr>
      </w:pPr>
      <w:r w:rsidRPr="00656A48">
        <w:rPr>
          <w:rFonts w:ascii="Arial" w:eastAsia="Times New Roman" w:hAnsi="Arial" w:cs="Arial"/>
          <w:sz w:val="24"/>
          <w:szCs w:val="24"/>
        </w:rPr>
        <w:t>Por otro lado, la identificación y clasificación de actores mediante el enfoque de la cuádruple hélice evidenció la existencia de instituciones relevantes en todos los departamentos; sin embargo, la articulación entre estos actores es débil, lo cual restringe la cooperación, el flujo de conocimiento y la generación de sinergias territoriales. Esta desconexión dificulta la consolidación de ecosistemas de innovación funcionales y sostenibles.</w:t>
      </w:r>
    </w:p>
    <w:p w14:paraId="55E4649E" w14:textId="77777777" w:rsidR="00656A48" w:rsidRPr="00656A48" w:rsidRDefault="00656A48" w:rsidP="00656A48">
      <w:pPr>
        <w:spacing w:before="100" w:beforeAutospacing="1" w:after="100" w:afterAutospacing="1" w:line="240" w:lineRule="auto"/>
        <w:rPr>
          <w:rFonts w:ascii="Arial" w:eastAsia="Times New Roman" w:hAnsi="Arial" w:cs="Arial"/>
          <w:sz w:val="24"/>
          <w:szCs w:val="24"/>
        </w:rPr>
      </w:pPr>
      <w:r w:rsidRPr="00656A48">
        <w:rPr>
          <w:rFonts w:ascii="Arial" w:eastAsia="Times New Roman" w:hAnsi="Arial" w:cs="Arial"/>
          <w:sz w:val="24"/>
          <w:szCs w:val="24"/>
        </w:rPr>
        <w:t>El diagnóstico de capacidades reveló una alta concentración de infraestructura, talento humano especializado y recursos financieros en departamentos como Antioquia, Bogotá y Valle del Cauca, mientras que regiones periféricas presentan déficits estructurales significativos. Esta situación refuerza las brechas territoriales existentes y reduce las oportunidades de innovación en contextos locales.</w:t>
      </w:r>
    </w:p>
    <w:p w14:paraId="35F4D8FE" w14:textId="77777777" w:rsidR="00656A48" w:rsidRPr="00656A48" w:rsidRDefault="00656A48" w:rsidP="00656A48">
      <w:pPr>
        <w:spacing w:before="100" w:beforeAutospacing="1" w:after="100" w:afterAutospacing="1" w:line="240" w:lineRule="auto"/>
        <w:rPr>
          <w:rFonts w:ascii="Arial" w:eastAsia="Times New Roman" w:hAnsi="Arial" w:cs="Arial"/>
          <w:sz w:val="24"/>
          <w:szCs w:val="24"/>
        </w:rPr>
      </w:pPr>
      <w:r w:rsidRPr="00656A48">
        <w:rPr>
          <w:rFonts w:ascii="Arial" w:eastAsia="Times New Roman" w:hAnsi="Arial" w:cs="Arial"/>
          <w:sz w:val="24"/>
          <w:szCs w:val="24"/>
        </w:rPr>
        <w:t>Finalmente, se concluye que es necesario fortalecer la gobernanza territorial, fomentar esquemas colaborativos entre actores e impulsar estrategias de especialización inteligente que respondan a las características y potencialidades endógenas de cada región. El diagnóstico propuesto, junto con la base de datos departamental construida, constituye una herramienta valiosa para la formulación de políticas públicas diferenciadas que promuevan ecosistemas de innovación más equitativos, eficientes y sostenibles en Colombia.</w:t>
      </w:r>
    </w:p>
    <w:p w14:paraId="66A60E5D" w14:textId="0D3548B7" w:rsidR="00440A49" w:rsidRPr="00291D9E" w:rsidRDefault="00440A49" w:rsidP="00440A49">
      <w:pPr>
        <w:spacing w:after="0" w:line="240" w:lineRule="auto"/>
        <w:jc w:val="both"/>
        <w:rPr>
          <w:rFonts w:ascii="Arial" w:hAnsi="Arial" w:cs="Arial"/>
          <w:b/>
          <w:bCs/>
          <w:sz w:val="24"/>
          <w:szCs w:val="24"/>
        </w:rPr>
      </w:pPr>
    </w:p>
    <w:p w14:paraId="2A346E0A" w14:textId="0E775A84" w:rsidR="00440A49" w:rsidRPr="00291D9E" w:rsidRDefault="00440A49" w:rsidP="00440A49">
      <w:pPr>
        <w:spacing w:after="0" w:line="240" w:lineRule="auto"/>
        <w:jc w:val="both"/>
        <w:rPr>
          <w:rFonts w:ascii="Arial" w:hAnsi="Arial" w:cs="Arial"/>
          <w:sz w:val="24"/>
          <w:szCs w:val="24"/>
        </w:rPr>
      </w:pPr>
      <w:r w:rsidRPr="00291D9E">
        <w:rPr>
          <w:rFonts w:ascii="Arial" w:hAnsi="Arial" w:cs="Arial"/>
          <w:b/>
          <w:bCs/>
          <w:sz w:val="24"/>
          <w:szCs w:val="24"/>
        </w:rPr>
        <w:t>Palabras claves:</w:t>
      </w:r>
      <w:r w:rsidRPr="00291D9E">
        <w:rPr>
          <w:rFonts w:ascii="Arial" w:hAnsi="Arial" w:cs="Arial"/>
          <w:sz w:val="24"/>
          <w:szCs w:val="24"/>
        </w:rPr>
        <w:t xml:space="preserve"> </w:t>
      </w:r>
      <w:r w:rsidR="00656A48" w:rsidRPr="00291D9E">
        <w:rPr>
          <w:rFonts w:ascii="Arial" w:hAnsi="Arial" w:cs="Arial"/>
          <w:sz w:val="24"/>
          <w:szCs w:val="24"/>
        </w:rPr>
        <w:t>Sistema de Innovación Territorial</w:t>
      </w:r>
      <w:r w:rsidR="00656A48" w:rsidRPr="00291D9E">
        <w:rPr>
          <w:rFonts w:ascii="Arial" w:hAnsi="Arial" w:cs="Arial"/>
          <w:sz w:val="24"/>
          <w:szCs w:val="24"/>
        </w:rPr>
        <w:t xml:space="preserve">, </w:t>
      </w:r>
      <w:r w:rsidR="00656A48" w:rsidRPr="00291D9E">
        <w:rPr>
          <w:rFonts w:ascii="Arial" w:hAnsi="Arial" w:cs="Arial"/>
          <w:sz w:val="24"/>
          <w:szCs w:val="24"/>
        </w:rPr>
        <w:t>Desarrollo Regional</w:t>
      </w:r>
      <w:r w:rsidR="00656A48" w:rsidRPr="00291D9E">
        <w:rPr>
          <w:rFonts w:ascii="Arial" w:hAnsi="Arial" w:cs="Arial"/>
          <w:sz w:val="24"/>
          <w:szCs w:val="24"/>
        </w:rPr>
        <w:t xml:space="preserve">, </w:t>
      </w:r>
      <w:r w:rsidR="00656A48" w:rsidRPr="00291D9E">
        <w:rPr>
          <w:rFonts w:ascii="Arial" w:hAnsi="Arial" w:cs="Arial"/>
          <w:sz w:val="24"/>
          <w:szCs w:val="24"/>
        </w:rPr>
        <w:t>Cuádruple Hélice</w:t>
      </w:r>
      <w:r w:rsidR="00656A48" w:rsidRPr="00291D9E">
        <w:rPr>
          <w:rFonts w:ascii="Arial" w:hAnsi="Arial" w:cs="Arial"/>
          <w:sz w:val="24"/>
          <w:szCs w:val="24"/>
        </w:rPr>
        <w:t xml:space="preserve">, Diagnostico de capacidades, Políticas publicas </w:t>
      </w:r>
      <w:bookmarkEnd w:id="0"/>
    </w:p>
    <w:p w14:paraId="6EE2B798" w14:textId="77777777" w:rsidR="00B55C99" w:rsidRPr="00291D9E" w:rsidRDefault="00B55C99" w:rsidP="00440A49">
      <w:pPr>
        <w:spacing w:after="0" w:line="240" w:lineRule="auto"/>
        <w:jc w:val="both"/>
        <w:rPr>
          <w:rFonts w:ascii="Arial" w:hAnsi="Arial" w:cs="Arial"/>
          <w:sz w:val="24"/>
          <w:szCs w:val="24"/>
        </w:rPr>
      </w:pPr>
    </w:p>
    <w:p w14:paraId="386E4D86" w14:textId="77777777" w:rsidR="00440A49" w:rsidRPr="00291D9E" w:rsidRDefault="00440A49" w:rsidP="00440A49">
      <w:pPr>
        <w:autoSpaceDE w:val="0"/>
        <w:autoSpaceDN w:val="0"/>
        <w:spacing w:before="120" w:after="0" w:line="240" w:lineRule="auto"/>
        <w:jc w:val="both"/>
        <w:rPr>
          <w:rFonts w:ascii="Arial" w:eastAsia="Times New Roman" w:hAnsi="Arial" w:cs="Arial"/>
          <w:b/>
          <w:bCs/>
          <w:sz w:val="24"/>
          <w:szCs w:val="24"/>
          <w:lang w:val="en-US"/>
        </w:rPr>
      </w:pPr>
      <w:r w:rsidRPr="00291D9E">
        <w:rPr>
          <w:rFonts w:ascii="Arial" w:eastAsia="Times New Roman" w:hAnsi="Arial" w:cs="Arial"/>
          <w:b/>
          <w:bCs/>
          <w:sz w:val="24"/>
          <w:szCs w:val="24"/>
          <w:lang w:val="en-US"/>
        </w:rPr>
        <w:lastRenderedPageBreak/>
        <w:t>Abstract</w:t>
      </w:r>
    </w:p>
    <w:p w14:paraId="0A3D86B9" w14:textId="7C3DA43E" w:rsidR="00440A49" w:rsidRPr="00291D9E" w:rsidRDefault="00B55C99" w:rsidP="00440A49">
      <w:pPr>
        <w:spacing w:after="0" w:line="240" w:lineRule="auto"/>
        <w:ind w:firstLine="340"/>
        <w:jc w:val="both"/>
        <w:rPr>
          <w:rFonts w:ascii="Arial" w:hAnsi="Arial" w:cs="Arial"/>
          <w:sz w:val="24"/>
          <w:szCs w:val="24"/>
          <w:lang w:val="en-US"/>
        </w:rPr>
      </w:pPr>
      <w:r w:rsidRPr="00291D9E">
        <w:rPr>
          <w:rFonts w:ascii="Arial" w:hAnsi="Arial" w:cs="Arial"/>
          <w:sz w:val="24"/>
          <w:szCs w:val="24"/>
          <w:lang w:val="en-US"/>
        </w:rPr>
        <w:t>This research aims to diagnose the current state of the territorial innovation system in Colombia through a literature review, bibliometric analysis, and classification of key actors by department. Using a qualitative and descriptive approach, structural barriers such as weak articulation among actors, low R&amp;D investment, regional disparities, and limited infrastructure were identified. Through social network methodology and the use of indicators such as the Departmental Innovation Index, a SWOT matrix was developed for each territory, highlighting inequalities in innovation capacities. The study underscores the need to strengthen governance, improve inter-institutional collaboration, and promote smart specialization strategies that leverage local resources. As a result, a national database was constructed by department, including key actors and indicators, providing a tool to guide public policies toward more equitable, sustainable, and competitive innovation ecosystems in the country.</w:t>
      </w:r>
    </w:p>
    <w:p w14:paraId="169FD285" w14:textId="77777777" w:rsidR="00B55C99" w:rsidRPr="00291D9E" w:rsidRDefault="00B55C99" w:rsidP="00440A49">
      <w:pPr>
        <w:spacing w:after="0" w:line="240" w:lineRule="auto"/>
        <w:ind w:firstLine="340"/>
        <w:jc w:val="both"/>
        <w:rPr>
          <w:rFonts w:ascii="Arial" w:eastAsia="Times New Roman" w:hAnsi="Arial" w:cs="Arial"/>
          <w:sz w:val="24"/>
          <w:szCs w:val="24"/>
          <w:lang w:val="en-US"/>
        </w:rPr>
      </w:pPr>
    </w:p>
    <w:p w14:paraId="75662BC3" w14:textId="78B7A1D9" w:rsidR="00440A49" w:rsidRPr="00291D9E" w:rsidRDefault="00440A49" w:rsidP="00440A49">
      <w:pPr>
        <w:spacing w:after="0" w:line="240" w:lineRule="auto"/>
        <w:jc w:val="both"/>
        <w:rPr>
          <w:rFonts w:ascii="Arial" w:eastAsia="Times New Roman" w:hAnsi="Arial" w:cs="Arial"/>
          <w:sz w:val="24"/>
          <w:szCs w:val="24"/>
          <w:lang w:val="en"/>
        </w:rPr>
      </w:pPr>
      <w:r w:rsidRPr="00291D9E">
        <w:rPr>
          <w:rFonts w:ascii="Arial" w:eastAsia="Times New Roman" w:hAnsi="Arial" w:cs="Arial"/>
          <w:b/>
          <w:bCs/>
          <w:sz w:val="24"/>
          <w:szCs w:val="24"/>
          <w:lang w:val="en"/>
        </w:rPr>
        <w:t>Objective:</w:t>
      </w:r>
      <w:r w:rsidRPr="00291D9E">
        <w:rPr>
          <w:rFonts w:ascii="Arial" w:eastAsia="Times New Roman" w:hAnsi="Arial" w:cs="Arial"/>
          <w:sz w:val="24"/>
          <w:szCs w:val="24"/>
          <w:lang w:val="en"/>
        </w:rPr>
        <w:t xml:space="preserve"> </w:t>
      </w:r>
      <w:r w:rsidR="00B55C99" w:rsidRPr="00291D9E">
        <w:rPr>
          <w:rFonts w:ascii="Arial" w:hAnsi="Arial" w:cs="Arial"/>
          <w:sz w:val="24"/>
          <w:szCs w:val="24"/>
          <w:lang w:val="en-US"/>
        </w:rPr>
        <w:t xml:space="preserve">The main objective of this project is to diagnose the current state of Colombia's territorial innovation system in order to identify the challenges and opportunities faced by the different territories in driving their regional development. The research is based on the hypothesis that there are significant variations in innovation capacities among the country's departments, caused by unequal structures in terms of infrastructure, human talent, and access to financing. These disparities affect the articulation among system actors—academia, productive sector, government, and civil society—and limit the effectiveness of public policies related to science, technology, and innovation. Thus, the diagnosis aims to generate a deep understanding of the territorial functioning of the system, in order to propose strategies that contribute to a more equitable, collaborative, and competitive environment in the Colombian </w:t>
      </w:r>
      <w:proofErr w:type="gramStart"/>
      <w:r w:rsidR="00B55C99" w:rsidRPr="00291D9E">
        <w:rPr>
          <w:rFonts w:ascii="Arial" w:hAnsi="Arial" w:cs="Arial"/>
          <w:sz w:val="24"/>
          <w:szCs w:val="24"/>
          <w:lang w:val="en-US"/>
        </w:rPr>
        <w:t>regions.</w:t>
      </w:r>
      <w:r w:rsidRPr="00291D9E">
        <w:rPr>
          <w:rFonts w:ascii="Arial" w:eastAsia="Times New Roman" w:hAnsi="Arial" w:cs="Arial"/>
          <w:sz w:val="24"/>
          <w:szCs w:val="24"/>
          <w:lang w:val="en"/>
        </w:rPr>
        <w:t>.</w:t>
      </w:r>
      <w:proofErr w:type="gramEnd"/>
    </w:p>
    <w:p w14:paraId="30E1CB8C" w14:textId="77777777" w:rsidR="00B55C99" w:rsidRPr="00291D9E" w:rsidRDefault="00440A49" w:rsidP="00B55C99">
      <w:pPr>
        <w:rPr>
          <w:rFonts w:ascii="Arial" w:hAnsi="Arial" w:cs="Arial"/>
          <w:sz w:val="24"/>
          <w:szCs w:val="24"/>
          <w:lang w:val="en-US"/>
        </w:rPr>
      </w:pPr>
      <w:r w:rsidRPr="00291D9E">
        <w:rPr>
          <w:rFonts w:ascii="Arial" w:eastAsia="Times New Roman" w:hAnsi="Arial" w:cs="Arial"/>
          <w:b/>
          <w:bCs/>
          <w:sz w:val="24"/>
          <w:szCs w:val="24"/>
          <w:lang w:val="en"/>
        </w:rPr>
        <w:t>Methodology or method:</w:t>
      </w:r>
      <w:r w:rsidRPr="00291D9E">
        <w:rPr>
          <w:rFonts w:ascii="Arial" w:eastAsia="Times New Roman" w:hAnsi="Arial" w:cs="Arial"/>
          <w:sz w:val="24"/>
          <w:szCs w:val="24"/>
          <w:lang w:val="en"/>
        </w:rPr>
        <w:t xml:space="preserve"> </w:t>
      </w:r>
      <w:r w:rsidR="00B55C99" w:rsidRPr="00291D9E">
        <w:rPr>
          <w:rFonts w:ascii="Arial" w:hAnsi="Arial" w:cs="Arial"/>
          <w:sz w:val="24"/>
          <w:szCs w:val="24"/>
          <w:lang w:val="en-US"/>
        </w:rPr>
        <w:t xml:space="preserve">The study was conducted using a descriptive and qualitative approach, structured in clearly defined phases. The first phase involved an initial immersion through a preliminary review of scientific and grey literature, aimed at identifying key terms and constructing a search equation for advanced queries. Subsequently, a bibliometric analysis was developed using the </w:t>
      </w:r>
      <w:proofErr w:type="spellStart"/>
      <w:r w:rsidR="00B55C99" w:rsidRPr="00291D9E">
        <w:rPr>
          <w:rFonts w:ascii="Arial" w:hAnsi="Arial" w:cs="Arial"/>
          <w:sz w:val="24"/>
          <w:szCs w:val="24"/>
          <w:lang w:val="en-US"/>
        </w:rPr>
        <w:t>VOSviewer</w:t>
      </w:r>
      <w:proofErr w:type="spellEnd"/>
      <w:r w:rsidR="00B55C99" w:rsidRPr="00291D9E">
        <w:rPr>
          <w:rFonts w:ascii="Arial" w:hAnsi="Arial" w:cs="Arial"/>
          <w:sz w:val="24"/>
          <w:szCs w:val="24"/>
          <w:lang w:val="en-US"/>
        </w:rPr>
        <w:t xml:space="preserve"> tool and the Scopus database, allowing the evaluation of scientific production on territorial innovation systems at national and international levels, as well as the identification of trends, key actors, and predominant knowledge areas. The third phase consisted of a social network analysis to explore the dynamics of interaction among the main actors of the Colombian territorial innovation system, identifying their level of influence and cooperation. Next, a structured database was created, including universities, research centers, innovative companies, and government entities from all 32 Colombian departments. Finally, a comprehensive diagnosis of regional innovation capacities was conducted through comparative analysis of competitiveness indicators, technological infrastructure, human and financial resources. The diagnosis was complemented by a SWOT matrix, identifying strengths, weaknesses, opportunities, and threats of the current system, thereby laying the foundation for strategic recommendations.</w:t>
      </w:r>
    </w:p>
    <w:p w14:paraId="3EDF4629" w14:textId="77777777" w:rsidR="00B55C99" w:rsidRPr="00291D9E" w:rsidRDefault="00440A49" w:rsidP="00B55C99">
      <w:pPr>
        <w:rPr>
          <w:rFonts w:ascii="Arial" w:hAnsi="Arial" w:cs="Arial"/>
          <w:sz w:val="24"/>
          <w:szCs w:val="24"/>
          <w:lang w:val="en-US"/>
        </w:rPr>
      </w:pPr>
      <w:r w:rsidRPr="00291D9E">
        <w:rPr>
          <w:rFonts w:ascii="Arial" w:eastAsia="Times New Roman" w:hAnsi="Arial" w:cs="Arial"/>
          <w:b/>
          <w:bCs/>
          <w:sz w:val="24"/>
          <w:szCs w:val="24"/>
          <w:lang w:val="en"/>
        </w:rPr>
        <w:t>Results:</w:t>
      </w:r>
      <w:r w:rsidRPr="00291D9E">
        <w:rPr>
          <w:rFonts w:ascii="Arial" w:eastAsia="Times New Roman" w:hAnsi="Arial" w:cs="Arial"/>
          <w:sz w:val="24"/>
          <w:szCs w:val="24"/>
          <w:lang w:val="en"/>
        </w:rPr>
        <w:t xml:space="preserve"> </w:t>
      </w:r>
      <w:r w:rsidR="00B55C99" w:rsidRPr="00291D9E">
        <w:rPr>
          <w:rFonts w:ascii="Arial" w:hAnsi="Arial" w:cs="Arial"/>
          <w:sz w:val="24"/>
          <w:szCs w:val="24"/>
          <w:lang w:val="en-US"/>
        </w:rPr>
        <w:t xml:space="preserve">The study was conducted using a descriptive and qualitative approach, structured in clearly defined phases. The first phase involved an initial immersion </w:t>
      </w:r>
      <w:r w:rsidR="00B55C99" w:rsidRPr="00291D9E">
        <w:rPr>
          <w:rFonts w:ascii="Arial" w:hAnsi="Arial" w:cs="Arial"/>
          <w:sz w:val="24"/>
          <w:szCs w:val="24"/>
          <w:lang w:val="en-US"/>
        </w:rPr>
        <w:lastRenderedPageBreak/>
        <w:t xml:space="preserve">through a preliminary review of scientific and grey literature, aimed at identifying key terms and constructing a search equation for advanced queries. Subsequently, a bibliometric analysis was developed using the </w:t>
      </w:r>
      <w:proofErr w:type="spellStart"/>
      <w:r w:rsidR="00B55C99" w:rsidRPr="00291D9E">
        <w:rPr>
          <w:rFonts w:ascii="Arial" w:hAnsi="Arial" w:cs="Arial"/>
          <w:sz w:val="24"/>
          <w:szCs w:val="24"/>
          <w:lang w:val="en-US"/>
        </w:rPr>
        <w:t>VOSviewer</w:t>
      </w:r>
      <w:proofErr w:type="spellEnd"/>
      <w:r w:rsidR="00B55C99" w:rsidRPr="00291D9E">
        <w:rPr>
          <w:rFonts w:ascii="Arial" w:hAnsi="Arial" w:cs="Arial"/>
          <w:sz w:val="24"/>
          <w:szCs w:val="24"/>
          <w:lang w:val="en-US"/>
        </w:rPr>
        <w:t xml:space="preserve"> tool and the Scopus database, allowing the evaluation of scientific production on territorial innovation systems at national and international levels, as well as the identification of trends, key actors, and predominant knowledge areas. The third phase consisted of a social network analysis to explore the dynamics of interaction among the main actors of the Colombian territorial innovation system, identifying their level of influence and cooperation. Next, a structured database was created, including universities, research centers, innovative companies, and government entities from all 32 Colombian departments. Finally, a comprehensive diagnosis of regional innovation capacities was conducted through comparative analysis of competitiveness indicators, technological infrastructure, human and financial resources. The diagnosis was complemented by a SWOT matrix, identifying strengths, weaknesses, opportunities, and threats of the current system, thereby laying the foundation for strategic recommendations.</w:t>
      </w:r>
    </w:p>
    <w:p w14:paraId="6EFA027F" w14:textId="169357E9" w:rsidR="00440A49" w:rsidRPr="00291D9E" w:rsidRDefault="00440A49" w:rsidP="00440A49">
      <w:pPr>
        <w:spacing w:after="0" w:line="240" w:lineRule="auto"/>
        <w:jc w:val="both"/>
        <w:rPr>
          <w:rFonts w:ascii="Arial" w:eastAsia="Times New Roman" w:hAnsi="Arial" w:cs="Arial"/>
          <w:sz w:val="24"/>
          <w:szCs w:val="24"/>
          <w:lang w:val="en"/>
        </w:rPr>
      </w:pPr>
      <w:r w:rsidRPr="00291D9E">
        <w:rPr>
          <w:rFonts w:ascii="Arial" w:eastAsia="Times New Roman" w:hAnsi="Arial" w:cs="Arial"/>
          <w:sz w:val="24"/>
          <w:szCs w:val="24"/>
          <w:lang w:val="en"/>
        </w:rPr>
        <w:t>.</w:t>
      </w:r>
    </w:p>
    <w:p w14:paraId="30C9C775" w14:textId="77777777" w:rsidR="00B55C99" w:rsidRPr="00291D9E" w:rsidRDefault="00440A49" w:rsidP="00B55C99">
      <w:pPr>
        <w:rPr>
          <w:rFonts w:ascii="Arial" w:hAnsi="Arial" w:cs="Arial"/>
          <w:sz w:val="24"/>
          <w:szCs w:val="24"/>
          <w:lang w:val="en-US"/>
        </w:rPr>
      </w:pPr>
      <w:r w:rsidRPr="00291D9E">
        <w:rPr>
          <w:rFonts w:ascii="Arial" w:eastAsia="Times New Roman" w:hAnsi="Arial" w:cs="Arial"/>
          <w:b/>
          <w:bCs/>
          <w:sz w:val="24"/>
          <w:szCs w:val="24"/>
          <w:lang w:val="en"/>
        </w:rPr>
        <w:t>Conclusions:</w:t>
      </w:r>
      <w:r w:rsidRPr="00291D9E">
        <w:rPr>
          <w:rFonts w:ascii="Arial" w:eastAsia="Times New Roman" w:hAnsi="Arial" w:cs="Arial"/>
          <w:sz w:val="24"/>
          <w:szCs w:val="24"/>
          <w:lang w:val="en"/>
        </w:rPr>
        <w:t xml:space="preserve"> </w:t>
      </w:r>
      <w:r w:rsidR="00B55C99" w:rsidRPr="00291D9E">
        <w:rPr>
          <w:rFonts w:ascii="Arial" w:hAnsi="Arial" w:cs="Arial"/>
          <w:sz w:val="24"/>
          <w:szCs w:val="24"/>
          <w:lang w:val="en-US"/>
        </w:rPr>
        <w:t>The results of this research allow us to conclude that the territorial innovation system in Colombia presents marked regional inequalities that compromise its effectiveness as a tool for economic and social development. The bibliometric analysis revealed limited national scientific production on the topic, highlighting the lack of conceptual appropriation of the territorial innovation approach in the country. This theoretical weakness limits the territories' ability to design evidence-based public policies.</w:t>
      </w:r>
    </w:p>
    <w:p w14:paraId="47F59F42" w14:textId="77777777" w:rsidR="00B55C99" w:rsidRPr="00291D9E" w:rsidRDefault="00B55C99" w:rsidP="00B55C99">
      <w:pPr>
        <w:rPr>
          <w:rFonts w:ascii="Arial" w:hAnsi="Arial" w:cs="Arial"/>
          <w:sz w:val="24"/>
          <w:szCs w:val="24"/>
          <w:lang w:val="en-US"/>
        </w:rPr>
      </w:pPr>
      <w:r w:rsidRPr="00291D9E">
        <w:rPr>
          <w:rFonts w:ascii="Arial" w:hAnsi="Arial" w:cs="Arial"/>
          <w:sz w:val="24"/>
          <w:szCs w:val="24"/>
          <w:lang w:val="en-US"/>
        </w:rPr>
        <w:t>On the other hand, the identification and classification of actors using the quadruple helix model evidenced the existence of relevant institutions in all departments; however, the articulation among these actors is weak, which restricts cooperation, knowledge flow, and the generation of territorial synergies. This disconnection hampers the consolidation of functional and sustainable innovation ecosystems.</w:t>
      </w:r>
    </w:p>
    <w:p w14:paraId="34EB72F4" w14:textId="77777777" w:rsidR="00B55C99" w:rsidRPr="00291D9E" w:rsidRDefault="00B55C99" w:rsidP="00B55C99">
      <w:pPr>
        <w:rPr>
          <w:rFonts w:ascii="Arial" w:hAnsi="Arial" w:cs="Arial"/>
          <w:sz w:val="24"/>
          <w:szCs w:val="24"/>
          <w:lang w:val="en-US"/>
        </w:rPr>
      </w:pPr>
      <w:r w:rsidRPr="00291D9E">
        <w:rPr>
          <w:rFonts w:ascii="Arial" w:hAnsi="Arial" w:cs="Arial"/>
          <w:sz w:val="24"/>
          <w:szCs w:val="24"/>
          <w:lang w:val="en-US"/>
        </w:rPr>
        <w:t>The capacity diagnosis revealed a high concentration of infrastructure, specialized human talent, and financial resources in departments such as Antioquia, Bogotá, and Valle del Cauca, while peripheral regions show significant structural deficits. This situation reinforces existing territorial gaps and reduces innovation opportunities in local contexts.</w:t>
      </w:r>
    </w:p>
    <w:p w14:paraId="47A5DB86" w14:textId="77777777" w:rsidR="00B55C99" w:rsidRPr="00291D9E" w:rsidRDefault="00B55C99" w:rsidP="00B55C99">
      <w:pPr>
        <w:rPr>
          <w:rFonts w:ascii="Arial" w:hAnsi="Arial" w:cs="Arial"/>
          <w:sz w:val="24"/>
          <w:szCs w:val="24"/>
          <w:lang w:val="en-US"/>
        </w:rPr>
      </w:pPr>
      <w:r w:rsidRPr="00291D9E">
        <w:rPr>
          <w:rFonts w:ascii="Arial" w:hAnsi="Arial" w:cs="Arial"/>
          <w:sz w:val="24"/>
          <w:szCs w:val="24"/>
          <w:lang w:val="en-US"/>
        </w:rPr>
        <w:t>Finally, it is concluded that it is necessary to strengthen territorial governance, promote collaborative schemes among actors, and implement smart specialization strategies that respond to the endogenous characteristics and potential of each region. The proposed diagnosis, along with the departmental database built, constitutes a valuable tool for the formulation of differentiated public policies that promote more equitable, efficient, and sustainable innovation ecosystems in Colombia.</w:t>
      </w:r>
    </w:p>
    <w:p w14:paraId="0D4194DF" w14:textId="77777777" w:rsidR="00B55C99" w:rsidRPr="00291D9E" w:rsidRDefault="00440A49" w:rsidP="00B55C99">
      <w:pPr>
        <w:rPr>
          <w:rFonts w:ascii="Arial" w:hAnsi="Arial" w:cs="Arial"/>
          <w:sz w:val="24"/>
          <w:szCs w:val="24"/>
          <w:lang w:val="en-US"/>
        </w:rPr>
      </w:pPr>
      <w:r w:rsidRPr="00291D9E">
        <w:rPr>
          <w:rFonts w:ascii="Arial" w:eastAsia="Times New Roman" w:hAnsi="Arial" w:cs="Arial"/>
          <w:b/>
          <w:bCs/>
          <w:sz w:val="24"/>
          <w:szCs w:val="24"/>
          <w:lang w:val="en"/>
        </w:rPr>
        <w:lastRenderedPageBreak/>
        <w:t>Keywords:</w:t>
      </w:r>
      <w:r w:rsidRPr="00291D9E">
        <w:rPr>
          <w:rFonts w:ascii="Arial" w:eastAsia="Times New Roman" w:hAnsi="Arial" w:cs="Arial"/>
          <w:sz w:val="24"/>
          <w:szCs w:val="24"/>
          <w:lang w:val="en"/>
        </w:rPr>
        <w:t xml:space="preserve"> </w:t>
      </w:r>
      <w:r w:rsidR="00B55C99" w:rsidRPr="00291D9E">
        <w:rPr>
          <w:rFonts w:ascii="Arial" w:hAnsi="Arial" w:cs="Arial"/>
          <w:sz w:val="24"/>
          <w:szCs w:val="24"/>
          <w:lang w:val="en-US"/>
        </w:rPr>
        <w:t>Territorial Innovation System, Regional Development, Quadruple Helix, Capacity Diagnosis, Public Policies</w:t>
      </w:r>
    </w:p>
    <w:p w14:paraId="06B45F63" w14:textId="27F8E663" w:rsidR="00440A49" w:rsidRPr="00291D9E" w:rsidRDefault="00440A49" w:rsidP="00440A49">
      <w:pPr>
        <w:spacing w:after="0" w:line="240" w:lineRule="auto"/>
        <w:jc w:val="both"/>
        <w:rPr>
          <w:rFonts w:ascii="Arial" w:eastAsia="Times New Roman" w:hAnsi="Arial" w:cs="Arial"/>
          <w:sz w:val="24"/>
          <w:szCs w:val="24"/>
          <w:lang w:val="en-US"/>
        </w:rPr>
      </w:pPr>
    </w:p>
    <w:p w14:paraId="74ECE8FC" w14:textId="77777777" w:rsidR="008A672F" w:rsidRPr="00291D9E" w:rsidRDefault="008A672F" w:rsidP="00440A49">
      <w:pPr>
        <w:spacing w:after="0" w:line="240" w:lineRule="auto"/>
        <w:ind w:firstLine="340"/>
        <w:jc w:val="both"/>
        <w:rPr>
          <w:rFonts w:ascii="Arial" w:eastAsia="Times New Roman" w:hAnsi="Arial" w:cs="Arial"/>
          <w:bCs/>
          <w:sz w:val="24"/>
          <w:szCs w:val="24"/>
          <w:lang w:val="en-GB"/>
        </w:rPr>
      </w:pPr>
    </w:p>
    <w:p w14:paraId="36EBE55B" w14:textId="77777777" w:rsidR="00440A49" w:rsidRPr="00291D9E" w:rsidRDefault="00440A49" w:rsidP="00440A49">
      <w:pPr>
        <w:spacing w:after="0" w:line="480" w:lineRule="auto"/>
        <w:ind w:left="709" w:hanging="709"/>
        <w:jc w:val="both"/>
        <w:rPr>
          <w:rFonts w:ascii="Arial" w:hAnsi="Arial" w:cs="Arial"/>
          <w:b/>
          <w:sz w:val="24"/>
          <w:szCs w:val="24"/>
        </w:rPr>
      </w:pPr>
      <w:r w:rsidRPr="00291D9E">
        <w:rPr>
          <w:rFonts w:ascii="Arial" w:hAnsi="Arial" w:cs="Arial"/>
          <w:b/>
          <w:sz w:val="24"/>
          <w:szCs w:val="24"/>
        </w:rPr>
        <w:t>Introducción</w:t>
      </w:r>
    </w:p>
    <w:p w14:paraId="4C299DFC" w14:textId="77777777" w:rsidR="00F422E2" w:rsidRPr="00291D9E" w:rsidRDefault="00F422E2" w:rsidP="00F422E2">
      <w:pPr>
        <w:rPr>
          <w:rFonts w:ascii="Arial" w:hAnsi="Arial" w:cs="Arial"/>
          <w:sz w:val="24"/>
          <w:szCs w:val="24"/>
        </w:rPr>
      </w:pPr>
      <w:r w:rsidRPr="00291D9E">
        <w:rPr>
          <w:rFonts w:ascii="Arial" w:hAnsi="Arial" w:cs="Arial"/>
          <w:sz w:val="24"/>
          <w:szCs w:val="24"/>
        </w:rPr>
        <w:t>Este trabajo se enfoca en diagnosticar y evaluar el estado actual del sistema de innovación territorial en Colombia, con el objetivo de identificar desafíos y oportunidades para el desarrollo regional. A pesar de los esfuerzos de políticas públicas, como el Sistema Nacional de Ciencia, Tecnología e Innovación (SNCTI), existen limitaciones en la capacidad de respuesta del sistema frente a las necesidades específicas de desarrollo regional. Estos problemas incluyen la falta de conexión entre los principales actores (sector público, privado, académico y sociedad civil), el déficit de inversión en investigación y desarrollo (I+D), y desigualdades regionales que afectan especialmente a las zonas rurales.</w:t>
      </w:r>
    </w:p>
    <w:p w14:paraId="739EA8C8" w14:textId="77777777" w:rsidR="00F422E2" w:rsidRPr="00291D9E" w:rsidRDefault="00F422E2" w:rsidP="00F422E2">
      <w:pPr>
        <w:rPr>
          <w:rFonts w:ascii="Arial" w:hAnsi="Arial" w:cs="Arial"/>
          <w:sz w:val="24"/>
          <w:szCs w:val="24"/>
        </w:rPr>
      </w:pPr>
      <w:r w:rsidRPr="00291D9E">
        <w:rPr>
          <w:rFonts w:ascii="Arial" w:hAnsi="Arial" w:cs="Arial"/>
          <w:sz w:val="24"/>
          <w:szCs w:val="24"/>
        </w:rPr>
        <w:t>Para abordar estas problemáticas, se plantea la siguiente pregunta de investigación: ¿Cuál es el estado de las capacidades de innovación en los territorios de Colombia? Y, como hipótesis, se considera que las capacidades de innovación presentan grandes variaciones regionales debido a una estructura desigual en infraestructura, recursos humanos y financiamiento. La relevancia de este trabajo radica en la necesidad de un diagnóstico exhaustivo del sistema de innovación territorial, que sirva para fomentar una mayor colaboración entre actores, maximizar el aprovechamiento de recursos tecnológicos y conocimiento, y contribuir a un entorno regional inclusivo y competitivo.</w:t>
      </w:r>
    </w:p>
    <w:p w14:paraId="61B18089" w14:textId="12820E5E" w:rsidR="00F422E2" w:rsidRPr="00291D9E" w:rsidRDefault="00F422E2" w:rsidP="005D1F15">
      <w:pPr>
        <w:rPr>
          <w:rFonts w:ascii="Arial" w:hAnsi="Arial" w:cs="Arial"/>
          <w:sz w:val="24"/>
          <w:szCs w:val="24"/>
        </w:rPr>
      </w:pPr>
      <w:r w:rsidRPr="00291D9E">
        <w:rPr>
          <w:rFonts w:ascii="Arial" w:hAnsi="Arial" w:cs="Arial"/>
          <w:sz w:val="24"/>
          <w:szCs w:val="24"/>
        </w:rPr>
        <w:t xml:space="preserve"> </w:t>
      </w:r>
      <w:r w:rsidRPr="00291D9E">
        <w:rPr>
          <w:rFonts w:ascii="Arial" w:hAnsi="Arial" w:cs="Arial"/>
          <w:sz w:val="24"/>
          <w:szCs w:val="24"/>
        </w:rPr>
        <w:t>Este diagnóstico tiene como objetivo democratizar la información del funcionamiento de</w:t>
      </w:r>
      <w:r w:rsidRPr="00291D9E">
        <w:rPr>
          <w:rFonts w:ascii="Arial" w:hAnsi="Arial" w:cs="Arial"/>
          <w:sz w:val="24"/>
          <w:szCs w:val="24"/>
        </w:rPr>
        <w:t xml:space="preserve"> </w:t>
      </w:r>
      <w:r w:rsidRPr="00291D9E">
        <w:rPr>
          <w:rFonts w:ascii="Arial" w:hAnsi="Arial" w:cs="Arial"/>
          <w:sz w:val="24"/>
          <w:szCs w:val="24"/>
        </w:rPr>
        <w:t>los sistemas de innovación en distintas regiones de Colombia, Mediante la recopilación y análisis de información actualizada sobre sus capacidades y limitaciones. Además, el enfoque de la investigación es de tipo descriptivo y cualitativo, lo cual permitirá desarrollar una perspectiva integral del estado del sistema y formular recomendaciones para fortalecer la innovación territorial en Colombia</w:t>
      </w:r>
    </w:p>
    <w:p w14:paraId="6F192BA6" w14:textId="77777777" w:rsidR="00B55C99" w:rsidRPr="00291D9E" w:rsidRDefault="00440A49" w:rsidP="00B55C99">
      <w:pPr>
        <w:spacing w:after="0" w:line="480" w:lineRule="auto"/>
        <w:ind w:left="709" w:hanging="709"/>
        <w:jc w:val="both"/>
        <w:rPr>
          <w:rFonts w:ascii="Arial" w:hAnsi="Arial" w:cs="Arial"/>
          <w:b/>
          <w:sz w:val="24"/>
          <w:szCs w:val="24"/>
        </w:rPr>
      </w:pPr>
      <w:r w:rsidRPr="00291D9E">
        <w:rPr>
          <w:rFonts w:ascii="Arial" w:hAnsi="Arial" w:cs="Arial"/>
          <w:b/>
          <w:sz w:val="24"/>
          <w:szCs w:val="24"/>
        </w:rPr>
        <w:t>Metodología</w:t>
      </w:r>
    </w:p>
    <w:p w14:paraId="72E3A9B2" w14:textId="77777777" w:rsidR="00B55C99" w:rsidRPr="00291D9E" w:rsidRDefault="00B55C99" w:rsidP="00B55C99">
      <w:pPr>
        <w:spacing w:line="480" w:lineRule="exact"/>
        <w:rPr>
          <w:rFonts w:ascii="Arial" w:hAnsi="Arial" w:cs="Arial"/>
          <w:sz w:val="24"/>
          <w:szCs w:val="24"/>
        </w:rPr>
      </w:pPr>
      <w:bookmarkStart w:id="1" w:name="_Toc194544095"/>
      <w:bookmarkStart w:id="2" w:name="_Hlk194567324"/>
      <w:r w:rsidRPr="00291D9E">
        <w:rPr>
          <w:rFonts w:ascii="Arial" w:eastAsia="Times New Roman" w:hAnsi="Arial" w:cs="Arial"/>
          <w:sz w:val="24"/>
          <w:szCs w:val="24"/>
        </w:rPr>
        <w:t xml:space="preserve">La metodología que se empleara para llevar a cabo el desarrollo de la investigación es de tipo descriptiva dado que la definición establece que se basa en </w:t>
      </w:r>
      <w:r w:rsidRPr="00291D9E">
        <w:rPr>
          <w:rFonts w:ascii="Arial" w:eastAsia="Times New Roman" w:hAnsi="Arial" w:cs="Arial"/>
          <w:color w:val="000000"/>
          <w:sz w:val="24"/>
          <w:szCs w:val="24"/>
        </w:rPr>
        <w:t>“con</w:t>
      </w:r>
      <w:r w:rsidRPr="00291D9E">
        <w:rPr>
          <w:rFonts w:ascii="Arial" w:eastAsia="Times New Roman" w:hAnsi="Arial" w:cs="Arial"/>
          <w:color w:val="000000"/>
          <w:sz w:val="24"/>
          <w:szCs w:val="24"/>
        </w:rPr>
        <w:softHyphen/>
        <w:t>clusiones dominantes o sobre cómo una persona, grupo o cosa se conduce o fun</w:t>
      </w:r>
      <w:r w:rsidRPr="00291D9E">
        <w:rPr>
          <w:rFonts w:ascii="Arial" w:eastAsia="Times New Roman" w:hAnsi="Arial" w:cs="Arial"/>
          <w:color w:val="000000"/>
          <w:sz w:val="24"/>
          <w:szCs w:val="24"/>
        </w:rPr>
        <w:softHyphen/>
        <w:t xml:space="preserve">ciona en el presente” </w:t>
      </w:r>
      <w:sdt>
        <w:sdtPr>
          <w:rPr>
            <w:rFonts w:ascii="Arial" w:hAnsi="Arial" w:cs="Arial"/>
            <w:color w:val="000000"/>
            <w:sz w:val="24"/>
            <w:szCs w:val="24"/>
          </w:rPr>
          <w:id w:val="-859428469"/>
          <w:citation/>
        </w:sdtPr>
        <w:sdtContent>
          <w:r w:rsidRPr="00291D9E">
            <w:rPr>
              <w:rFonts w:ascii="Arial" w:hAnsi="Arial" w:cs="Arial"/>
              <w:color w:val="000000"/>
              <w:sz w:val="24"/>
              <w:szCs w:val="24"/>
            </w:rPr>
            <w:fldChar w:fldCharType="begin"/>
          </w:r>
          <w:r w:rsidRPr="00291D9E">
            <w:rPr>
              <w:rFonts w:ascii="Arial" w:hAnsi="Arial" w:cs="Arial"/>
              <w:color w:val="000000"/>
              <w:sz w:val="24"/>
              <w:szCs w:val="24"/>
            </w:rPr>
            <w:instrText xml:space="preserve"> CITATION Gue20 \l 9226 </w:instrText>
          </w:r>
          <w:r w:rsidRPr="00291D9E">
            <w:rPr>
              <w:rFonts w:ascii="Arial" w:hAnsi="Arial" w:cs="Arial"/>
              <w:color w:val="000000"/>
              <w:sz w:val="24"/>
              <w:szCs w:val="24"/>
            </w:rPr>
            <w:fldChar w:fldCharType="separate"/>
          </w:r>
          <w:r w:rsidRPr="00291D9E">
            <w:rPr>
              <w:rFonts w:ascii="Arial" w:hAnsi="Arial" w:cs="Arial"/>
              <w:noProof/>
              <w:color w:val="000000"/>
              <w:sz w:val="24"/>
              <w:szCs w:val="24"/>
            </w:rPr>
            <w:t>(Guevara Alban, Verdesoto Arguello, &amp; Castro Molina, 2020)</w:t>
          </w:r>
          <w:r w:rsidRPr="00291D9E">
            <w:rPr>
              <w:rFonts w:ascii="Arial" w:hAnsi="Arial" w:cs="Arial"/>
              <w:color w:val="000000"/>
              <w:sz w:val="24"/>
              <w:szCs w:val="24"/>
            </w:rPr>
            <w:fldChar w:fldCharType="end"/>
          </w:r>
        </w:sdtContent>
      </w:sdt>
      <w:r w:rsidRPr="00291D9E">
        <w:rPr>
          <w:rFonts w:ascii="Arial" w:eastAsia="Times New Roman" w:hAnsi="Arial" w:cs="Arial"/>
          <w:color w:val="000000"/>
          <w:sz w:val="24"/>
          <w:szCs w:val="24"/>
        </w:rPr>
        <w:t xml:space="preserve">. Así mismo, se define que la investigación tiene un </w:t>
      </w:r>
      <w:r w:rsidRPr="00291D9E">
        <w:rPr>
          <w:rFonts w:ascii="Arial" w:eastAsia="Times New Roman" w:hAnsi="Arial" w:cs="Arial"/>
          <w:sz w:val="24"/>
          <w:szCs w:val="24"/>
        </w:rPr>
        <w:t xml:space="preserve">enfoque cualitativo ya que se busca analizar y </w:t>
      </w:r>
      <w:r w:rsidRPr="00291D9E">
        <w:rPr>
          <w:rFonts w:ascii="Arial" w:eastAsia="Times New Roman" w:hAnsi="Arial" w:cs="Arial"/>
          <w:sz w:val="24"/>
          <w:szCs w:val="24"/>
        </w:rPr>
        <w:lastRenderedPageBreak/>
        <w:t xml:space="preserve">condensar la información resultante  </w:t>
      </w:r>
      <w:proofErr w:type="spellStart"/>
      <w:r w:rsidRPr="00291D9E">
        <w:rPr>
          <w:rFonts w:ascii="Arial" w:eastAsia="Times New Roman" w:hAnsi="Arial" w:cs="Arial"/>
          <w:sz w:val="24"/>
          <w:szCs w:val="24"/>
        </w:rPr>
        <w:t>Medionte</w:t>
      </w:r>
      <w:proofErr w:type="spellEnd"/>
      <w:r w:rsidRPr="00291D9E">
        <w:rPr>
          <w:rFonts w:ascii="Arial" w:eastAsia="Times New Roman" w:hAnsi="Arial" w:cs="Arial"/>
          <w:sz w:val="24"/>
          <w:szCs w:val="24"/>
        </w:rPr>
        <w:t xml:space="preserve"> las consultas en la web y de esta manera identificar los actores principales de los sistemas de innovación territorial  para posteriormente desarrollar un diagnóstico de sus capacidades, determinar y analizar las interacciones existentes entre ellos para finalmente concluir cual es el estado actual de los sistemas identificando los desafíos que presentan actualmente y las oportunidad actuales y futuras.</w:t>
      </w:r>
    </w:p>
    <w:p w14:paraId="22F21996" w14:textId="77777777" w:rsidR="00B55C99" w:rsidRPr="00291D9E" w:rsidRDefault="00B55C99" w:rsidP="00B55C99">
      <w:pPr>
        <w:spacing w:line="480" w:lineRule="exact"/>
        <w:rPr>
          <w:rFonts w:ascii="Arial" w:hAnsi="Arial" w:cs="Arial"/>
          <w:sz w:val="24"/>
          <w:szCs w:val="24"/>
        </w:rPr>
      </w:pPr>
      <w:bookmarkStart w:id="3" w:name="_Hlk194567450"/>
      <w:r w:rsidRPr="00291D9E">
        <w:rPr>
          <w:rFonts w:ascii="Arial" w:eastAsia="Times New Roman" w:hAnsi="Arial" w:cs="Arial"/>
          <w:sz w:val="24"/>
          <w:szCs w:val="24"/>
        </w:rPr>
        <w:t xml:space="preserve">La siguiente imagen representa los pasos necesarios para el desarrollo de la investigación </w:t>
      </w:r>
    </w:p>
    <w:bookmarkEnd w:id="2"/>
    <w:bookmarkEnd w:id="3"/>
    <w:p w14:paraId="3CCC5626" w14:textId="77777777" w:rsidR="00B55C99" w:rsidRPr="00291D9E" w:rsidRDefault="00B55C99" w:rsidP="00B55C99">
      <w:pPr>
        <w:spacing w:line="480" w:lineRule="exact"/>
        <w:rPr>
          <w:rFonts w:ascii="Arial" w:hAnsi="Arial" w:cs="Arial"/>
          <w:sz w:val="24"/>
          <w:szCs w:val="24"/>
        </w:rPr>
      </w:pPr>
      <w:r w:rsidRPr="00291D9E">
        <w:rPr>
          <w:rFonts w:ascii="Arial" w:eastAsia="Times New Roman" w:hAnsi="Arial" w:cs="Arial"/>
          <w:noProof/>
          <w:sz w:val="24"/>
          <w:szCs w:val="24"/>
        </w:rPr>
        <mc:AlternateContent>
          <mc:Choice Requires="wps">
            <w:drawing>
              <wp:anchor distT="0" distB="0" distL="114300" distR="114300" simplePos="0" relativeHeight="251660288" behindDoc="0" locked="0" layoutInCell="1" allowOverlap="1" wp14:anchorId="27AFC33E" wp14:editId="1CE1DE71">
                <wp:simplePos x="0" y="0"/>
                <wp:positionH relativeFrom="column">
                  <wp:posOffset>942975</wp:posOffset>
                </wp:positionH>
                <wp:positionV relativeFrom="paragraph">
                  <wp:posOffset>1664970</wp:posOffset>
                </wp:positionV>
                <wp:extent cx="4057650" cy="635"/>
                <wp:effectExtent l="0" t="0" r="0" b="0"/>
                <wp:wrapSquare wrapText="bothSides"/>
                <wp:docPr id="28" name="Cuadro de texto 28"/>
                <wp:cNvGraphicFramePr/>
                <a:graphic xmlns:a="http://schemas.openxmlformats.org/drawingml/2006/main">
                  <a:graphicData uri="http://schemas.microsoft.com/office/word/2010/wordprocessingShape">
                    <wps:wsp>
                      <wps:cNvSpPr txBox="1"/>
                      <wps:spPr>
                        <a:xfrm>
                          <a:off x="0" y="0"/>
                          <a:ext cx="4057650" cy="635"/>
                        </a:xfrm>
                        <a:prstGeom prst="rect">
                          <a:avLst/>
                        </a:prstGeom>
                        <a:solidFill>
                          <a:prstClr val="white"/>
                        </a:solidFill>
                        <a:ln>
                          <a:noFill/>
                        </a:ln>
                      </wps:spPr>
                      <wps:txbx>
                        <w:txbxContent>
                          <w:p w14:paraId="0FA29474" w14:textId="77777777" w:rsidR="00B55C99" w:rsidRPr="00B81943" w:rsidRDefault="00B55C99" w:rsidP="00B55C99">
                            <w:pPr>
                              <w:pStyle w:val="Descripcin"/>
                              <w:jc w:val="center"/>
                              <w:rPr>
                                <w:noProof/>
                                <w:sz w:val="18"/>
                                <w:szCs w:val="18"/>
                              </w:rPr>
                            </w:pPr>
                            <w:r w:rsidRPr="00B81943">
                              <w:rPr>
                                <w:sz w:val="18"/>
                                <w:szCs w:val="18"/>
                              </w:rPr>
                              <w:t xml:space="preserve">Ilustración </w:t>
                            </w:r>
                            <w:r w:rsidRPr="00B81943">
                              <w:rPr>
                                <w:sz w:val="18"/>
                                <w:szCs w:val="18"/>
                              </w:rPr>
                              <w:fldChar w:fldCharType="begin"/>
                            </w:r>
                            <w:r w:rsidRPr="00B81943">
                              <w:rPr>
                                <w:sz w:val="18"/>
                                <w:szCs w:val="18"/>
                              </w:rPr>
                              <w:instrText xml:space="preserve"> SEQ Ilustración \* ARABIC </w:instrText>
                            </w:r>
                            <w:r w:rsidRPr="00B81943">
                              <w:rPr>
                                <w:sz w:val="18"/>
                                <w:szCs w:val="18"/>
                              </w:rPr>
                              <w:fldChar w:fldCharType="separate"/>
                            </w:r>
                            <w:r>
                              <w:rPr>
                                <w:noProof/>
                                <w:sz w:val="18"/>
                                <w:szCs w:val="18"/>
                              </w:rPr>
                              <w:t>10</w:t>
                            </w:r>
                            <w:r w:rsidRPr="00B81943">
                              <w:rPr>
                                <w:sz w:val="18"/>
                                <w:szCs w:val="18"/>
                              </w:rPr>
                              <w:fldChar w:fldCharType="end"/>
                            </w:r>
                            <w:r w:rsidRPr="00B81943">
                              <w:rPr>
                                <w:sz w:val="18"/>
                                <w:szCs w:val="18"/>
                              </w:rPr>
                              <w:t>. fases del enfoque cualitativo</w:t>
                            </w:r>
                            <w:r>
                              <w:rPr>
                                <w:sz w:val="18"/>
                                <w:szCs w:val="18"/>
                              </w:rPr>
                              <w:t>, tomado de:  H</w:t>
                            </w:r>
                            <w:r w:rsidRPr="00140FE6">
                              <w:rPr>
                                <w:sz w:val="18"/>
                                <w:szCs w:val="18"/>
                              </w:rPr>
                              <w:t>ernández Sampieri, R. (2014). Metodología de la investigación. Ciudad de México: MGH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7AFC33E" id="_x0000_t202" coordsize="21600,21600" o:spt="202" path="m,l,21600r21600,l21600,xe">
                <v:stroke joinstyle="miter"/>
                <v:path gradientshapeok="t" o:connecttype="rect"/>
              </v:shapetype>
              <v:shape id="Cuadro de texto 28" o:spid="_x0000_s1026" type="#_x0000_t202" style="position:absolute;margin-left:74.25pt;margin-top:131.1pt;width:319.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rXfFQIAADgEAAAOAAAAZHJzL2Uyb0RvYy54bWysU8GO0zAQvSPxD5bvNO1CC4qarkpXRUir&#10;3ZW6aM+u4zSWHI8Zu03K1zN2khYWToiLM/GM33jee17edo1hJ4Vegy34bDLlTFkJpbaHgn973r77&#10;xJkPwpbCgFUFPyvPb1dv3yxbl6sbqMGUChmBWJ+3ruB1CC7PMi9r1Qg/AacsJSvARgT6xUNWomgJ&#10;vTHZzXS6yFrA0iFI5T3t3vVJvkr4VaVkeKwqrwIzBae7hbRiWvdxzVZLkR9QuFrL4RriH27RCG2p&#10;6QXqTgTBjqj/gGq0RPBQhYmEJoOq0lKlGWia2fTVNLtaOJVmIXK8u9Dk/x+sfDjt3BOy0H2GjgSM&#10;hLTO55424zxdhU380k0Z5YnC84U21QUmafPDdP5xMaeUpNzi/TxiZNejDn34oqBhMSg4kiaJKnG6&#10;96EvHUtiJw9Gl1ttTPyJiY1BdhKkX1vroAbw36qMjbUW4qkeMO5k1zliFLp9Nwy3h/JMMyP0dvBO&#10;bjU1uhc+PAkk/WkW8nR4pKUy0BYchoizGvDH3/ZjPclCWc5a8lPB/fejQMWZ+WpJsGi+McAx2I+B&#10;PTYboBFn9FqcTCEdwGDGsEJoXsjq69iFUsJK6lXwMIab0LuanopU63UqIos5Ee7tzskIPRL63L0I&#10;dIMcgVR8gNFpIn+lSl+bdHHrYyCKk2SR0J7FgWeyZxJ9eErR/7/+p6rrg1/9BAAA//8DAFBLAwQU&#10;AAYACAAAACEAkJP62eAAAAALAQAADwAAAGRycy9kb3ducmV2LnhtbEyPwU7DMBBE70j8g7VIXBB1&#10;SEMahThVVcEBLhWhF25u7MaBeB3ZThv+noULHGf2aXamWs92YCftQ+9QwN0iAaaxdarHTsD+7em2&#10;ABaiRCUHh1rAlw6wri8vKlkqd8ZXfWpixygEQykFmBjHkvPQGm1lWLhRI92OzlsZSfqOKy/PFG4H&#10;niZJzq3skT4YOeqt0e1nM1kBu+x9Z26m4+PLJlv65/20zT+6Rojrq3nzACzqOf7B8FOfqkNNnQ5u&#10;QhXYQDor7gkVkOZpCoyIVbEi5/DrLIHXFf+/of4GAAD//wMAUEsBAi0AFAAGAAgAAAAhALaDOJL+&#10;AAAA4QEAABMAAAAAAAAAAAAAAAAAAAAAAFtDb250ZW50X1R5cGVzXS54bWxQSwECLQAUAAYACAAA&#10;ACEAOP0h/9YAAACUAQAACwAAAAAAAAAAAAAAAAAvAQAAX3JlbHMvLnJlbHNQSwECLQAUAAYACAAA&#10;ACEAXBa13xUCAAA4BAAADgAAAAAAAAAAAAAAAAAuAgAAZHJzL2Uyb0RvYy54bWxQSwECLQAUAAYA&#10;CAAAACEAkJP62eAAAAALAQAADwAAAAAAAAAAAAAAAABvBAAAZHJzL2Rvd25yZXYueG1sUEsFBgAA&#10;AAAEAAQA8wAAAHwFAAAAAA==&#10;" stroked="f">
                <v:textbox style="mso-fit-shape-to-text:t" inset="0,0,0,0">
                  <w:txbxContent>
                    <w:p w14:paraId="0FA29474" w14:textId="77777777" w:rsidR="00B55C99" w:rsidRPr="00B81943" w:rsidRDefault="00B55C99" w:rsidP="00B55C99">
                      <w:pPr>
                        <w:pStyle w:val="Descripcin"/>
                        <w:jc w:val="center"/>
                        <w:rPr>
                          <w:noProof/>
                          <w:sz w:val="18"/>
                          <w:szCs w:val="18"/>
                        </w:rPr>
                      </w:pPr>
                      <w:r w:rsidRPr="00B81943">
                        <w:rPr>
                          <w:sz w:val="18"/>
                          <w:szCs w:val="18"/>
                        </w:rPr>
                        <w:t xml:space="preserve">Ilustración </w:t>
                      </w:r>
                      <w:r w:rsidRPr="00B81943">
                        <w:rPr>
                          <w:sz w:val="18"/>
                          <w:szCs w:val="18"/>
                        </w:rPr>
                        <w:fldChar w:fldCharType="begin"/>
                      </w:r>
                      <w:r w:rsidRPr="00B81943">
                        <w:rPr>
                          <w:sz w:val="18"/>
                          <w:szCs w:val="18"/>
                        </w:rPr>
                        <w:instrText xml:space="preserve"> SEQ Ilustración \* ARABIC </w:instrText>
                      </w:r>
                      <w:r w:rsidRPr="00B81943">
                        <w:rPr>
                          <w:sz w:val="18"/>
                          <w:szCs w:val="18"/>
                        </w:rPr>
                        <w:fldChar w:fldCharType="separate"/>
                      </w:r>
                      <w:r>
                        <w:rPr>
                          <w:noProof/>
                          <w:sz w:val="18"/>
                          <w:szCs w:val="18"/>
                        </w:rPr>
                        <w:t>10</w:t>
                      </w:r>
                      <w:r w:rsidRPr="00B81943">
                        <w:rPr>
                          <w:sz w:val="18"/>
                          <w:szCs w:val="18"/>
                        </w:rPr>
                        <w:fldChar w:fldCharType="end"/>
                      </w:r>
                      <w:r w:rsidRPr="00B81943">
                        <w:rPr>
                          <w:sz w:val="18"/>
                          <w:szCs w:val="18"/>
                        </w:rPr>
                        <w:t>. fases del enfoque cualitativo</w:t>
                      </w:r>
                      <w:r>
                        <w:rPr>
                          <w:sz w:val="18"/>
                          <w:szCs w:val="18"/>
                        </w:rPr>
                        <w:t>, tomado de:  H</w:t>
                      </w:r>
                      <w:r w:rsidRPr="00140FE6">
                        <w:rPr>
                          <w:sz w:val="18"/>
                          <w:szCs w:val="18"/>
                        </w:rPr>
                        <w:t>ernández Sampieri, R. (2014). Metodología de la investigación. Ciudad de México: MGH</w:t>
                      </w:r>
                    </w:p>
                  </w:txbxContent>
                </v:textbox>
                <w10:wrap type="square"/>
              </v:shape>
            </w:pict>
          </mc:Fallback>
        </mc:AlternateContent>
      </w:r>
      <w:r w:rsidRPr="00291D9E">
        <w:rPr>
          <w:rFonts w:ascii="Arial" w:eastAsia="Times New Roman" w:hAnsi="Arial" w:cs="Arial"/>
          <w:noProof/>
          <w:sz w:val="24"/>
          <w:szCs w:val="24"/>
        </w:rPr>
        <w:drawing>
          <wp:anchor distT="0" distB="0" distL="114300" distR="114300" simplePos="0" relativeHeight="251659264" behindDoc="0" locked="0" layoutInCell="1" allowOverlap="1" wp14:anchorId="201F6261" wp14:editId="6F0DE818">
            <wp:simplePos x="0" y="0"/>
            <wp:positionH relativeFrom="margin">
              <wp:align>center</wp:align>
            </wp:positionH>
            <wp:positionV relativeFrom="paragraph">
              <wp:posOffset>8890</wp:posOffset>
            </wp:positionV>
            <wp:extent cx="4057650" cy="1599028"/>
            <wp:effectExtent l="0" t="0" r="0" b="1270"/>
            <wp:wrapSquare wrapText="bothSides"/>
            <wp:docPr id="737323679" name="Imagen 737323679" descr="Diagrama, Escala de tiem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Diagrama, Escala de tiempo&#10;&#10;Descripción generada automáticamente"/>
                    <pic:cNvPicPr/>
                  </pic:nvPicPr>
                  <pic:blipFill rotWithShape="1">
                    <a:blip r:embed="rId8">
                      <a:extLst>
                        <a:ext uri="{28A0092B-C50C-407E-A947-70E740481C1C}">
                          <a14:useLocalDpi xmlns:a14="http://schemas.microsoft.com/office/drawing/2010/main" val="0"/>
                        </a:ext>
                      </a:extLst>
                    </a:blip>
                    <a:srcRect l="13301" t="42402" r="16347" b="5573"/>
                    <a:stretch/>
                  </pic:blipFill>
                  <pic:spPr bwMode="auto">
                    <a:xfrm>
                      <a:off x="0" y="0"/>
                      <a:ext cx="4057650" cy="1599028"/>
                    </a:xfrm>
                    <a:prstGeom prst="rect">
                      <a:avLst/>
                    </a:prstGeom>
                    <a:ln>
                      <a:noFill/>
                    </a:ln>
                    <a:extLst>
                      <a:ext uri="{53640926-AAD7-44D8-BBD7-CCE9431645EC}">
                        <a14:shadowObscured xmlns:a14="http://schemas.microsoft.com/office/drawing/2010/main"/>
                      </a:ext>
                    </a:extLst>
                  </pic:spPr>
                </pic:pic>
              </a:graphicData>
            </a:graphic>
          </wp:anchor>
        </w:drawing>
      </w:r>
    </w:p>
    <w:p w14:paraId="0611D4A9" w14:textId="77777777" w:rsidR="00B55C99" w:rsidRPr="00291D9E" w:rsidRDefault="00B55C99" w:rsidP="00B55C99">
      <w:pPr>
        <w:spacing w:line="480" w:lineRule="exact"/>
        <w:rPr>
          <w:rFonts w:ascii="Arial" w:hAnsi="Arial" w:cs="Arial"/>
          <w:sz w:val="24"/>
          <w:szCs w:val="24"/>
        </w:rPr>
      </w:pPr>
    </w:p>
    <w:p w14:paraId="75181D99" w14:textId="77777777" w:rsidR="00B55C99" w:rsidRPr="00291D9E" w:rsidRDefault="00B55C99" w:rsidP="00B55C99">
      <w:pPr>
        <w:spacing w:line="480" w:lineRule="exact"/>
        <w:rPr>
          <w:rFonts w:ascii="Arial" w:hAnsi="Arial" w:cs="Arial"/>
          <w:sz w:val="24"/>
          <w:szCs w:val="24"/>
        </w:rPr>
      </w:pPr>
    </w:p>
    <w:p w14:paraId="39347E5A" w14:textId="77777777" w:rsidR="00B55C99" w:rsidRPr="00291D9E" w:rsidRDefault="00B55C99" w:rsidP="00B55C99">
      <w:pPr>
        <w:spacing w:line="480" w:lineRule="exact"/>
        <w:rPr>
          <w:rFonts w:ascii="Arial" w:hAnsi="Arial" w:cs="Arial"/>
          <w:sz w:val="24"/>
          <w:szCs w:val="24"/>
        </w:rPr>
      </w:pPr>
    </w:p>
    <w:p w14:paraId="2DE021A2" w14:textId="77777777" w:rsidR="00B55C99" w:rsidRPr="00291D9E" w:rsidRDefault="00B55C99" w:rsidP="00B55C99">
      <w:pPr>
        <w:spacing w:line="480" w:lineRule="exact"/>
        <w:rPr>
          <w:rFonts w:ascii="Arial" w:hAnsi="Arial" w:cs="Arial"/>
          <w:sz w:val="24"/>
          <w:szCs w:val="24"/>
        </w:rPr>
      </w:pPr>
    </w:p>
    <w:p w14:paraId="0A76FCA7" w14:textId="77777777" w:rsidR="00B55C99" w:rsidRPr="00291D9E" w:rsidRDefault="00B55C99" w:rsidP="00B55C99">
      <w:pPr>
        <w:spacing w:line="480" w:lineRule="exact"/>
        <w:rPr>
          <w:rFonts w:ascii="Arial" w:hAnsi="Arial" w:cs="Arial"/>
          <w:sz w:val="24"/>
          <w:szCs w:val="24"/>
        </w:rPr>
      </w:pPr>
    </w:p>
    <w:p w14:paraId="11C73A02" w14:textId="77777777" w:rsidR="00B55C99" w:rsidRPr="00291D9E" w:rsidRDefault="00B55C99" w:rsidP="00B55C99">
      <w:pPr>
        <w:spacing w:line="480" w:lineRule="exact"/>
        <w:rPr>
          <w:rFonts w:ascii="Arial" w:hAnsi="Arial" w:cs="Arial"/>
          <w:sz w:val="24"/>
          <w:szCs w:val="24"/>
        </w:rPr>
      </w:pPr>
      <w:r w:rsidRPr="00291D9E">
        <w:rPr>
          <w:rFonts w:ascii="Arial" w:eastAsia="Times New Roman" w:hAnsi="Arial" w:cs="Arial"/>
          <w:sz w:val="24"/>
          <w:szCs w:val="24"/>
        </w:rPr>
        <w:t xml:space="preserve">Basándose en la gráfica se describen los pasos que se aplicaran para la ejecución de la investigación a desarrollar. </w:t>
      </w:r>
    </w:p>
    <w:p w14:paraId="23092011" w14:textId="0E0DA36F" w:rsidR="00B55C99" w:rsidRPr="00291D9E" w:rsidRDefault="00B55C99" w:rsidP="00B55C99">
      <w:pPr>
        <w:pStyle w:val="Ttulo2"/>
        <w:spacing w:line="480" w:lineRule="exact"/>
        <w:rPr>
          <w:rFonts w:ascii="Arial" w:hAnsi="Arial" w:cs="Arial"/>
          <w:szCs w:val="24"/>
        </w:rPr>
      </w:pPr>
      <w:bookmarkStart w:id="4" w:name="_Toc194567223"/>
      <w:r w:rsidRPr="00291D9E">
        <w:rPr>
          <w:rFonts w:ascii="Arial" w:hAnsi="Arial" w:cs="Arial"/>
          <w:szCs w:val="24"/>
        </w:rPr>
        <w:t>Inmersión Inicial.</w:t>
      </w:r>
      <w:bookmarkEnd w:id="4"/>
    </w:p>
    <w:p w14:paraId="301FEEA3" w14:textId="77777777" w:rsidR="00B55C99" w:rsidRPr="00291D9E" w:rsidRDefault="00B55C99" w:rsidP="00B55C99">
      <w:pPr>
        <w:spacing w:line="480" w:lineRule="exact"/>
        <w:rPr>
          <w:rFonts w:ascii="Arial" w:hAnsi="Arial" w:cs="Arial"/>
          <w:sz w:val="24"/>
          <w:szCs w:val="24"/>
        </w:rPr>
      </w:pPr>
      <w:r w:rsidRPr="00291D9E">
        <w:rPr>
          <w:rFonts w:ascii="Arial" w:eastAsia="Times New Roman" w:hAnsi="Arial" w:cs="Arial"/>
          <w:sz w:val="24"/>
          <w:szCs w:val="24"/>
        </w:rPr>
        <w:t xml:space="preserve">Se realiza la consulta preliminar de la literatura existente en las bases de datos de la biblioteca de la UIS, con el fin de conocer los conceptos necesarios, dar contexto de las investigaciones que se han realizado hasta el momento e identificar cuáles han sido los enfoques que han tenido y encontrar las palabras claves que ayuden a la profundización de la investigación, así mismo identificar las fuentes de </w:t>
      </w:r>
      <w:r w:rsidRPr="00291D9E">
        <w:rPr>
          <w:rFonts w:ascii="Arial" w:hAnsi="Arial" w:cs="Arial"/>
          <w:sz w:val="24"/>
          <w:szCs w:val="24"/>
        </w:rPr>
        <w:t>información</w:t>
      </w:r>
      <w:r w:rsidRPr="00291D9E">
        <w:rPr>
          <w:rFonts w:ascii="Arial" w:eastAsia="Times New Roman" w:hAnsi="Arial" w:cs="Arial"/>
          <w:sz w:val="24"/>
          <w:szCs w:val="24"/>
        </w:rPr>
        <w:t xml:space="preserve"> más relevante y así obtener un análisis preliminar de literatura.</w:t>
      </w:r>
    </w:p>
    <w:p w14:paraId="5412C179" w14:textId="3C438190" w:rsidR="00B55C99" w:rsidRPr="00291D9E" w:rsidRDefault="00B55C99" w:rsidP="00B55C99">
      <w:pPr>
        <w:pStyle w:val="Ttulo3"/>
        <w:spacing w:line="480" w:lineRule="exact"/>
        <w:rPr>
          <w:rFonts w:ascii="Arial" w:hAnsi="Arial" w:cs="Arial"/>
        </w:rPr>
      </w:pPr>
      <w:bookmarkStart w:id="5" w:name="_Toc194567224"/>
      <w:r w:rsidRPr="00291D9E">
        <w:rPr>
          <w:rFonts w:ascii="Arial" w:eastAsia="Times New Roman" w:hAnsi="Arial" w:cs="Arial"/>
        </w:rPr>
        <w:lastRenderedPageBreak/>
        <w:t>Términos clave preliminares</w:t>
      </w:r>
      <w:bookmarkEnd w:id="5"/>
    </w:p>
    <w:p w14:paraId="6E952C20" w14:textId="77777777" w:rsidR="00B55C99" w:rsidRPr="00291D9E" w:rsidRDefault="00B55C99" w:rsidP="00B55C99">
      <w:pPr>
        <w:spacing w:line="480" w:lineRule="exact"/>
        <w:rPr>
          <w:rFonts w:ascii="Arial" w:hAnsi="Arial" w:cs="Arial"/>
          <w:sz w:val="24"/>
          <w:szCs w:val="24"/>
        </w:rPr>
      </w:pPr>
      <w:r w:rsidRPr="00291D9E">
        <w:rPr>
          <w:rFonts w:ascii="Arial" w:eastAsia="Times New Roman" w:hAnsi="Arial" w:cs="Arial"/>
          <w:sz w:val="24"/>
          <w:szCs w:val="24"/>
        </w:rPr>
        <w:t>En el proceso de búsqueda de documentos científicos se consultaron los términos “sistemas de innovación”, “diagnostico sistema de innovación” y “sistemas de innovación territorial”</w:t>
      </w:r>
    </w:p>
    <w:p w14:paraId="5B5E58D6" w14:textId="7682673A" w:rsidR="00B55C99" w:rsidRPr="00291D9E" w:rsidRDefault="00B55C99" w:rsidP="00B55C99">
      <w:pPr>
        <w:spacing w:line="480" w:lineRule="exact"/>
        <w:rPr>
          <w:rFonts w:ascii="Arial" w:hAnsi="Arial" w:cs="Arial"/>
          <w:sz w:val="24"/>
          <w:szCs w:val="24"/>
        </w:rPr>
      </w:pPr>
      <w:r w:rsidRPr="00291D9E">
        <w:rPr>
          <w:rFonts w:ascii="Arial" w:eastAsia="Times New Roman" w:hAnsi="Arial" w:cs="Arial"/>
          <w:sz w:val="24"/>
          <w:szCs w:val="24"/>
        </w:rPr>
        <w:t>poniendo Colombia como un criterio de inclusión; partiendo de los resultados obtenido se llevó a cabo la selección de los artículos que tuvieron más relación con el objeto de estudio</w:t>
      </w:r>
    </w:p>
    <w:p w14:paraId="4D82EBF9" w14:textId="77777777" w:rsidR="00B55C99" w:rsidRPr="00291D9E" w:rsidRDefault="00B55C99" w:rsidP="00B55C99">
      <w:pPr>
        <w:pStyle w:val="Descripcin"/>
        <w:keepNext/>
        <w:spacing w:line="480" w:lineRule="exact"/>
        <w:rPr>
          <w:rFonts w:ascii="Arial" w:hAnsi="Arial" w:cs="Arial"/>
          <w:szCs w:val="24"/>
        </w:rPr>
      </w:pPr>
      <w:bookmarkStart w:id="6" w:name="_Toc194544077"/>
      <w:r w:rsidRPr="00291D9E">
        <w:rPr>
          <w:rFonts w:ascii="Arial" w:eastAsia="Times New Roman" w:hAnsi="Arial" w:cs="Arial"/>
          <w:szCs w:val="24"/>
        </w:rPr>
        <w:t xml:space="preserve">Tabla </w:t>
      </w:r>
      <w:r w:rsidRPr="00291D9E">
        <w:rPr>
          <w:rFonts w:ascii="Arial" w:eastAsia="Times New Roman" w:hAnsi="Arial" w:cs="Arial"/>
          <w:szCs w:val="24"/>
        </w:rPr>
        <w:fldChar w:fldCharType="begin"/>
      </w:r>
      <w:r w:rsidRPr="00291D9E">
        <w:rPr>
          <w:rFonts w:ascii="Arial" w:eastAsia="Times New Roman" w:hAnsi="Arial" w:cs="Arial"/>
          <w:szCs w:val="24"/>
        </w:rPr>
        <w:instrText xml:space="preserve"> SEQ Tabla \* ARABIC </w:instrText>
      </w:r>
      <w:r w:rsidRPr="00291D9E">
        <w:rPr>
          <w:rFonts w:ascii="Arial" w:eastAsia="Times New Roman" w:hAnsi="Arial" w:cs="Arial"/>
          <w:szCs w:val="24"/>
        </w:rPr>
        <w:fldChar w:fldCharType="separate"/>
      </w:r>
      <w:r w:rsidRPr="00291D9E">
        <w:rPr>
          <w:rFonts w:ascii="Arial" w:eastAsia="Times New Roman" w:hAnsi="Arial" w:cs="Arial"/>
          <w:noProof/>
          <w:szCs w:val="24"/>
        </w:rPr>
        <w:t>3</w:t>
      </w:r>
      <w:r w:rsidRPr="00291D9E">
        <w:rPr>
          <w:rFonts w:ascii="Arial" w:eastAsia="Times New Roman" w:hAnsi="Arial" w:cs="Arial"/>
          <w:noProof/>
          <w:szCs w:val="24"/>
        </w:rPr>
        <w:fldChar w:fldCharType="end"/>
      </w:r>
      <w:r w:rsidRPr="00291D9E">
        <w:rPr>
          <w:rFonts w:ascii="Arial" w:eastAsia="Times New Roman" w:hAnsi="Arial" w:cs="Arial"/>
          <w:szCs w:val="24"/>
        </w:rPr>
        <w:t>. Palabras claves &amp; Tesauros</w:t>
      </w:r>
      <w:bookmarkEnd w:id="6"/>
    </w:p>
    <w:tbl>
      <w:tblPr>
        <w:tblStyle w:val="Tablaconcuadrcula"/>
        <w:tblW w:w="9989" w:type="dxa"/>
        <w:tblLook w:val="04A0" w:firstRow="1" w:lastRow="0" w:firstColumn="1" w:lastColumn="0" w:noHBand="0" w:noVBand="1"/>
      </w:tblPr>
      <w:tblGrid>
        <w:gridCol w:w="3329"/>
        <w:gridCol w:w="3330"/>
        <w:gridCol w:w="3330"/>
      </w:tblGrid>
      <w:tr w:rsidR="00B55C99" w:rsidRPr="00291D9E" w14:paraId="2D3F47AC" w14:textId="77777777" w:rsidTr="001268F1">
        <w:trPr>
          <w:trHeight w:val="475"/>
        </w:trPr>
        <w:tc>
          <w:tcPr>
            <w:tcW w:w="3329" w:type="dxa"/>
          </w:tcPr>
          <w:p w14:paraId="32A38E51" w14:textId="77777777" w:rsidR="00B55C99" w:rsidRPr="00291D9E" w:rsidRDefault="00B55C99" w:rsidP="001268F1">
            <w:pPr>
              <w:jc w:val="center"/>
              <w:rPr>
                <w:rFonts w:ascii="Arial" w:hAnsi="Arial" w:cs="Arial"/>
                <w:b/>
                <w:bCs/>
                <w:sz w:val="24"/>
                <w:szCs w:val="24"/>
              </w:rPr>
            </w:pPr>
            <w:r w:rsidRPr="00291D9E">
              <w:rPr>
                <w:rFonts w:ascii="Arial" w:hAnsi="Arial" w:cs="Arial"/>
                <w:b/>
                <w:bCs/>
                <w:sz w:val="24"/>
                <w:szCs w:val="24"/>
              </w:rPr>
              <w:t>PALABRA CLAVE</w:t>
            </w:r>
          </w:p>
        </w:tc>
        <w:tc>
          <w:tcPr>
            <w:tcW w:w="3330" w:type="dxa"/>
          </w:tcPr>
          <w:p w14:paraId="4797919E" w14:textId="77777777" w:rsidR="00B55C99" w:rsidRPr="00291D9E" w:rsidRDefault="00B55C99" w:rsidP="001268F1">
            <w:pPr>
              <w:jc w:val="center"/>
              <w:rPr>
                <w:rFonts w:ascii="Arial" w:hAnsi="Arial" w:cs="Arial"/>
                <w:b/>
                <w:bCs/>
                <w:sz w:val="24"/>
                <w:szCs w:val="24"/>
              </w:rPr>
            </w:pPr>
            <w:r w:rsidRPr="00291D9E">
              <w:rPr>
                <w:rFonts w:ascii="Arial" w:hAnsi="Arial" w:cs="Arial"/>
                <w:b/>
                <w:bCs/>
                <w:sz w:val="24"/>
                <w:szCs w:val="24"/>
              </w:rPr>
              <w:t>KEYWORD</w:t>
            </w:r>
          </w:p>
        </w:tc>
        <w:tc>
          <w:tcPr>
            <w:tcW w:w="3330" w:type="dxa"/>
          </w:tcPr>
          <w:p w14:paraId="1CBA2C39" w14:textId="77777777" w:rsidR="00B55C99" w:rsidRPr="00291D9E" w:rsidRDefault="00B55C99" w:rsidP="001268F1">
            <w:pPr>
              <w:jc w:val="center"/>
              <w:rPr>
                <w:rFonts w:ascii="Arial" w:hAnsi="Arial" w:cs="Arial"/>
                <w:b/>
                <w:bCs/>
                <w:sz w:val="24"/>
                <w:szCs w:val="24"/>
              </w:rPr>
            </w:pPr>
            <w:r w:rsidRPr="00291D9E">
              <w:rPr>
                <w:rFonts w:ascii="Arial" w:hAnsi="Arial" w:cs="Arial"/>
                <w:b/>
                <w:bCs/>
                <w:sz w:val="24"/>
                <w:szCs w:val="24"/>
              </w:rPr>
              <w:t>TESAURO</w:t>
            </w:r>
          </w:p>
        </w:tc>
      </w:tr>
      <w:tr w:rsidR="00B55C99" w:rsidRPr="00291D9E" w14:paraId="6FD6065B" w14:textId="77777777" w:rsidTr="001268F1">
        <w:trPr>
          <w:trHeight w:val="462"/>
        </w:trPr>
        <w:tc>
          <w:tcPr>
            <w:tcW w:w="3329" w:type="dxa"/>
          </w:tcPr>
          <w:p w14:paraId="6FAD5777" w14:textId="77777777" w:rsidR="00B55C99" w:rsidRPr="00291D9E" w:rsidRDefault="00B55C99" w:rsidP="001268F1">
            <w:pPr>
              <w:rPr>
                <w:rFonts w:ascii="Arial" w:hAnsi="Arial" w:cs="Arial"/>
                <w:sz w:val="24"/>
                <w:szCs w:val="24"/>
              </w:rPr>
            </w:pPr>
            <w:r w:rsidRPr="00291D9E">
              <w:rPr>
                <w:rFonts w:ascii="Arial" w:hAnsi="Arial" w:cs="Arial"/>
                <w:sz w:val="24"/>
                <w:szCs w:val="24"/>
              </w:rPr>
              <w:t>Sistema de innovación</w:t>
            </w:r>
          </w:p>
        </w:tc>
        <w:tc>
          <w:tcPr>
            <w:tcW w:w="3330" w:type="dxa"/>
          </w:tcPr>
          <w:p w14:paraId="68016318" w14:textId="77777777" w:rsidR="00B55C99" w:rsidRPr="00291D9E" w:rsidRDefault="00B55C99" w:rsidP="001268F1">
            <w:pPr>
              <w:rPr>
                <w:rFonts w:ascii="Arial" w:hAnsi="Arial" w:cs="Arial"/>
                <w:sz w:val="24"/>
                <w:szCs w:val="24"/>
              </w:rPr>
            </w:pPr>
            <w:r w:rsidRPr="00291D9E">
              <w:rPr>
                <w:rFonts w:ascii="Arial" w:hAnsi="Arial" w:cs="Arial"/>
                <w:sz w:val="24"/>
                <w:szCs w:val="24"/>
              </w:rPr>
              <w:t>Innovation System</w:t>
            </w:r>
          </w:p>
        </w:tc>
        <w:tc>
          <w:tcPr>
            <w:tcW w:w="3330" w:type="dxa"/>
          </w:tcPr>
          <w:p w14:paraId="18437B18" w14:textId="77777777" w:rsidR="00B55C99" w:rsidRPr="00291D9E" w:rsidRDefault="00B55C99" w:rsidP="001268F1">
            <w:pPr>
              <w:rPr>
                <w:rFonts w:ascii="Arial" w:hAnsi="Arial" w:cs="Arial"/>
                <w:sz w:val="24"/>
                <w:szCs w:val="24"/>
              </w:rPr>
            </w:pPr>
            <w:r w:rsidRPr="00291D9E">
              <w:rPr>
                <w:rFonts w:ascii="Arial" w:hAnsi="Arial" w:cs="Arial"/>
                <w:sz w:val="24"/>
                <w:szCs w:val="24"/>
              </w:rPr>
              <w:t>Innovation Networks</w:t>
            </w:r>
          </w:p>
        </w:tc>
      </w:tr>
      <w:tr w:rsidR="00B55C99" w:rsidRPr="00291D9E" w14:paraId="2174B7D2" w14:textId="77777777" w:rsidTr="001268F1">
        <w:trPr>
          <w:trHeight w:val="926"/>
        </w:trPr>
        <w:tc>
          <w:tcPr>
            <w:tcW w:w="3329" w:type="dxa"/>
          </w:tcPr>
          <w:p w14:paraId="00BECB92" w14:textId="77777777" w:rsidR="00B55C99" w:rsidRPr="00291D9E" w:rsidRDefault="00B55C99" w:rsidP="001268F1">
            <w:pPr>
              <w:rPr>
                <w:rFonts w:ascii="Arial" w:hAnsi="Arial" w:cs="Arial"/>
                <w:sz w:val="24"/>
                <w:szCs w:val="24"/>
              </w:rPr>
            </w:pPr>
            <w:r w:rsidRPr="00291D9E">
              <w:rPr>
                <w:rFonts w:ascii="Arial" w:hAnsi="Arial" w:cs="Arial"/>
                <w:sz w:val="24"/>
                <w:szCs w:val="24"/>
              </w:rPr>
              <w:t>Sistemas de innovación territorial</w:t>
            </w:r>
            <w:r w:rsidRPr="00291D9E">
              <w:rPr>
                <w:rFonts w:ascii="Arial" w:hAnsi="Arial" w:cs="Arial"/>
                <w:color w:val="3A3A3A"/>
                <w:sz w:val="24"/>
                <w:szCs w:val="24"/>
                <w:shd w:val="clear" w:color="auto" w:fill="F3F3F3"/>
              </w:rPr>
              <w:t xml:space="preserve"> </w:t>
            </w:r>
          </w:p>
        </w:tc>
        <w:tc>
          <w:tcPr>
            <w:tcW w:w="3330" w:type="dxa"/>
          </w:tcPr>
          <w:p w14:paraId="329452EB" w14:textId="77777777" w:rsidR="00B55C99" w:rsidRPr="00291D9E" w:rsidRDefault="00B55C99" w:rsidP="001268F1">
            <w:pPr>
              <w:rPr>
                <w:rFonts w:ascii="Arial" w:hAnsi="Arial" w:cs="Arial"/>
                <w:sz w:val="24"/>
                <w:szCs w:val="24"/>
              </w:rPr>
            </w:pPr>
            <w:r w:rsidRPr="00291D9E">
              <w:rPr>
                <w:rFonts w:ascii="Arial" w:hAnsi="Arial" w:cs="Arial"/>
                <w:sz w:val="24"/>
                <w:szCs w:val="24"/>
              </w:rPr>
              <w:t>Territorial Innovation System</w:t>
            </w:r>
          </w:p>
        </w:tc>
        <w:tc>
          <w:tcPr>
            <w:tcW w:w="3330" w:type="dxa"/>
          </w:tcPr>
          <w:p w14:paraId="7F3DC1A8" w14:textId="77777777" w:rsidR="00B55C99" w:rsidRPr="00291D9E" w:rsidRDefault="00B55C99" w:rsidP="001268F1">
            <w:pPr>
              <w:rPr>
                <w:rFonts w:ascii="Arial" w:hAnsi="Arial" w:cs="Arial"/>
                <w:sz w:val="24"/>
                <w:szCs w:val="24"/>
                <w:lang w:val="en-US"/>
              </w:rPr>
            </w:pPr>
            <w:r w:rsidRPr="00291D9E">
              <w:rPr>
                <w:rFonts w:ascii="Arial" w:hAnsi="Arial" w:cs="Arial"/>
                <w:sz w:val="24"/>
                <w:szCs w:val="24"/>
                <w:lang w:val="en-US"/>
              </w:rPr>
              <w:t>Regional Innovation System</w:t>
            </w:r>
          </w:p>
          <w:p w14:paraId="7F3B4FE3" w14:textId="77777777" w:rsidR="00B55C99" w:rsidRPr="00291D9E" w:rsidRDefault="00B55C99" w:rsidP="001268F1">
            <w:pPr>
              <w:rPr>
                <w:rFonts w:ascii="Arial" w:hAnsi="Arial" w:cs="Arial"/>
                <w:sz w:val="24"/>
                <w:szCs w:val="24"/>
                <w:lang w:val="en-US"/>
              </w:rPr>
            </w:pPr>
            <w:r w:rsidRPr="00291D9E">
              <w:rPr>
                <w:rFonts w:ascii="Arial" w:hAnsi="Arial" w:cs="Arial"/>
                <w:sz w:val="24"/>
                <w:szCs w:val="24"/>
                <w:lang w:val="en-US"/>
              </w:rPr>
              <w:t>Local Innovation System</w:t>
            </w:r>
          </w:p>
        </w:tc>
      </w:tr>
      <w:tr w:rsidR="00B55C99" w:rsidRPr="00291D9E" w14:paraId="178C38AF" w14:textId="77777777" w:rsidTr="001268F1">
        <w:trPr>
          <w:trHeight w:val="1793"/>
        </w:trPr>
        <w:tc>
          <w:tcPr>
            <w:tcW w:w="3329" w:type="dxa"/>
          </w:tcPr>
          <w:p w14:paraId="15BCAC9D" w14:textId="77777777" w:rsidR="00B55C99" w:rsidRPr="00291D9E" w:rsidRDefault="00B55C99" w:rsidP="001268F1">
            <w:pPr>
              <w:rPr>
                <w:rFonts w:ascii="Arial" w:hAnsi="Arial" w:cs="Arial"/>
                <w:sz w:val="24"/>
                <w:szCs w:val="24"/>
              </w:rPr>
            </w:pPr>
            <w:r w:rsidRPr="00291D9E">
              <w:rPr>
                <w:rFonts w:ascii="Arial" w:hAnsi="Arial" w:cs="Arial"/>
                <w:sz w:val="24"/>
                <w:szCs w:val="24"/>
              </w:rPr>
              <w:t xml:space="preserve">Diagnostico </w:t>
            </w:r>
          </w:p>
        </w:tc>
        <w:tc>
          <w:tcPr>
            <w:tcW w:w="3330" w:type="dxa"/>
          </w:tcPr>
          <w:p w14:paraId="0236B4CB" w14:textId="77777777" w:rsidR="00B55C99" w:rsidRPr="00291D9E" w:rsidRDefault="00B55C99" w:rsidP="001268F1">
            <w:pPr>
              <w:rPr>
                <w:rFonts w:ascii="Arial" w:hAnsi="Arial" w:cs="Arial"/>
                <w:sz w:val="24"/>
                <w:szCs w:val="24"/>
                <w:lang w:val="en-US"/>
              </w:rPr>
            </w:pPr>
            <w:r w:rsidRPr="00291D9E">
              <w:rPr>
                <w:rFonts w:ascii="Arial" w:hAnsi="Arial" w:cs="Arial"/>
                <w:sz w:val="24"/>
                <w:szCs w:val="24"/>
                <w:lang w:val="en-US"/>
              </w:rPr>
              <w:t>Diagnosis</w:t>
            </w:r>
          </w:p>
        </w:tc>
        <w:tc>
          <w:tcPr>
            <w:tcW w:w="3330" w:type="dxa"/>
          </w:tcPr>
          <w:p w14:paraId="07C2743D" w14:textId="77777777" w:rsidR="00B55C99" w:rsidRPr="00291D9E" w:rsidRDefault="00B55C99" w:rsidP="001268F1">
            <w:pPr>
              <w:rPr>
                <w:rFonts w:ascii="Arial" w:hAnsi="Arial" w:cs="Arial"/>
                <w:sz w:val="24"/>
                <w:szCs w:val="24"/>
                <w:lang w:val="en-US"/>
              </w:rPr>
            </w:pPr>
            <w:r w:rsidRPr="00291D9E">
              <w:rPr>
                <w:rFonts w:ascii="Arial" w:hAnsi="Arial" w:cs="Arial"/>
                <w:sz w:val="24"/>
                <w:szCs w:val="24"/>
                <w:lang w:val="en-US"/>
              </w:rPr>
              <w:t xml:space="preserve">Assessment </w:t>
            </w:r>
          </w:p>
          <w:p w14:paraId="49F20D3F" w14:textId="77777777" w:rsidR="00B55C99" w:rsidRPr="00291D9E" w:rsidRDefault="00B55C99" w:rsidP="001268F1">
            <w:pPr>
              <w:rPr>
                <w:rFonts w:ascii="Arial" w:hAnsi="Arial" w:cs="Arial"/>
                <w:sz w:val="24"/>
                <w:szCs w:val="24"/>
                <w:lang w:val="en-US"/>
              </w:rPr>
            </w:pPr>
            <w:r w:rsidRPr="00291D9E">
              <w:rPr>
                <w:rFonts w:ascii="Arial" w:hAnsi="Arial" w:cs="Arial"/>
                <w:sz w:val="24"/>
                <w:szCs w:val="24"/>
                <w:lang w:val="en-US"/>
              </w:rPr>
              <w:t>Evaluation</w:t>
            </w:r>
          </w:p>
          <w:p w14:paraId="65F3067D" w14:textId="77777777" w:rsidR="00B55C99" w:rsidRPr="00291D9E" w:rsidRDefault="00B55C99" w:rsidP="001268F1">
            <w:pPr>
              <w:rPr>
                <w:rFonts w:ascii="Arial" w:hAnsi="Arial" w:cs="Arial"/>
                <w:sz w:val="24"/>
                <w:szCs w:val="24"/>
                <w:lang w:val="en-US"/>
              </w:rPr>
            </w:pPr>
            <w:r w:rsidRPr="00291D9E">
              <w:rPr>
                <w:rFonts w:ascii="Arial" w:hAnsi="Arial" w:cs="Arial"/>
                <w:sz w:val="24"/>
                <w:szCs w:val="24"/>
                <w:lang w:val="en-US"/>
              </w:rPr>
              <w:t>Analysis</w:t>
            </w:r>
          </w:p>
          <w:p w14:paraId="374CC772" w14:textId="77777777" w:rsidR="00B55C99" w:rsidRPr="00291D9E" w:rsidRDefault="00B55C99" w:rsidP="001268F1">
            <w:pPr>
              <w:rPr>
                <w:rFonts w:ascii="Arial" w:hAnsi="Arial" w:cs="Arial"/>
                <w:sz w:val="24"/>
                <w:szCs w:val="24"/>
                <w:lang w:val="en-US"/>
              </w:rPr>
            </w:pPr>
            <w:r w:rsidRPr="00291D9E">
              <w:rPr>
                <w:rFonts w:ascii="Arial" w:hAnsi="Arial" w:cs="Arial"/>
                <w:sz w:val="24"/>
                <w:szCs w:val="24"/>
                <w:lang w:val="en-US"/>
              </w:rPr>
              <w:t>Examination</w:t>
            </w:r>
          </w:p>
        </w:tc>
      </w:tr>
    </w:tbl>
    <w:p w14:paraId="09A89735" w14:textId="03BF2531" w:rsidR="00B55C99" w:rsidRPr="00291D9E" w:rsidRDefault="00B55C99" w:rsidP="00B55C99">
      <w:pPr>
        <w:pStyle w:val="Ttulo2"/>
        <w:spacing w:line="480" w:lineRule="exact"/>
        <w:rPr>
          <w:rFonts w:ascii="Arial" w:hAnsi="Arial" w:cs="Arial"/>
          <w:szCs w:val="24"/>
        </w:rPr>
      </w:pPr>
      <w:bookmarkStart w:id="7" w:name="_Toc194567225"/>
      <w:r w:rsidRPr="00291D9E">
        <w:rPr>
          <w:rFonts w:ascii="Arial" w:hAnsi="Arial" w:cs="Arial"/>
          <w:szCs w:val="24"/>
        </w:rPr>
        <w:t>Revisión de literatura: Sistemas Regionales de Innovación.</w:t>
      </w:r>
      <w:bookmarkEnd w:id="7"/>
      <w:r w:rsidRPr="00291D9E">
        <w:rPr>
          <w:rFonts w:ascii="Arial" w:hAnsi="Arial" w:cs="Arial"/>
          <w:szCs w:val="24"/>
        </w:rPr>
        <w:t xml:space="preserve"> </w:t>
      </w:r>
    </w:p>
    <w:p w14:paraId="23BD929D" w14:textId="77777777" w:rsidR="00B55C99" w:rsidRPr="00291D9E" w:rsidRDefault="00B55C99" w:rsidP="00B55C99">
      <w:pPr>
        <w:spacing w:line="480" w:lineRule="exact"/>
        <w:rPr>
          <w:rFonts w:ascii="Arial" w:hAnsi="Arial" w:cs="Arial"/>
          <w:sz w:val="24"/>
          <w:szCs w:val="24"/>
        </w:rPr>
      </w:pPr>
      <w:r w:rsidRPr="00291D9E">
        <w:rPr>
          <w:rFonts w:ascii="Arial" w:eastAsia="Times New Roman" w:hAnsi="Arial" w:cs="Arial"/>
          <w:noProof/>
          <w:sz w:val="24"/>
          <w:szCs w:val="24"/>
        </w:rPr>
        <mc:AlternateContent>
          <mc:Choice Requires="wps">
            <w:drawing>
              <wp:anchor distT="0" distB="0" distL="114300" distR="114300" simplePos="0" relativeHeight="251662336" behindDoc="0" locked="0" layoutInCell="1" allowOverlap="1" wp14:anchorId="038DDE27" wp14:editId="74903457">
                <wp:simplePos x="0" y="0"/>
                <wp:positionH relativeFrom="margin">
                  <wp:posOffset>-225560</wp:posOffset>
                </wp:positionH>
                <wp:positionV relativeFrom="paragraph">
                  <wp:posOffset>3564552</wp:posOffset>
                </wp:positionV>
                <wp:extent cx="6677025" cy="323850"/>
                <wp:effectExtent l="0" t="0" r="9525" b="0"/>
                <wp:wrapSquare wrapText="bothSides"/>
                <wp:docPr id="31" name="Cuadro de texto 31"/>
                <wp:cNvGraphicFramePr/>
                <a:graphic xmlns:a="http://schemas.openxmlformats.org/drawingml/2006/main">
                  <a:graphicData uri="http://schemas.microsoft.com/office/word/2010/wordprocessingShape">
                    <wps:wsp>
                      <wps:cNvSpPr txBox="1"/>
                      <wps:spPr>
                        <a:xfrm>
                          <a:off x="0" y="0"/>
                          <a:ext cx="6677025" cy="323850"/>
                        </a:xfrm>
                        <a:prstGeom prst="rect">
                          <a:avLst/>
                        </a:prstGeom>
                        <a:solidFill>
                          <a:prstClr val="white"/>
                        </a:solidFill>
                        <a:ln>
                          <a:noFill/>
                        </a:ln>
                      </wps:spPr>
                      <wps:txbx>
                        <w:txbxContent>
                          <w:p w14:paraId="6B25D305" w14:textId="77777777" w:rsidR="00B55C99" w:rsidRDefault="00B55C99" w:rsidP="00B55C99">
                            <w:pPr>
                              <w:pStyle w:val="Descripcin"/>
                              <w:spacing w:line="240" w:lineRule="auto"/>
                              <w:jc w:val="center"/>
                            </w:pPr>
                            <w:bookmarkStart w:id="8" w:name="_Toc194544096"/>
                            <w:r w:rsidRPr="00284C4F">
                              <w:rPr>
                                <w:sz w:val="18"/>
                                <w:szCs w:val="18"/>
                              </w:rPr>
                              <w:t xml:space="preserve">Ilustración </w:t>
                            </w:r>
                            <w:r w:rsidRPr="00284C4F">
                              <w:rPr>
                                <w:sz w:val="18"/>
                                <w:szCs w:val="18"/>
                              </w:rPr>
                              <w:fldChar w:fldCharType="begin"/>
                            </w:r>
                            <w:r w:rsidRPr="00284C4F">
                              <w:rPr>
                                <w:sz w:val="18"/>
                                <w:szCs w:val="18"/>
                              </w:rPr>
                              <w:instrText xml:space="preserve"> SEQ Ilustración \* ARABIC </w:instrText>
                            </w:r>
                            <w:r w:rsidRPr="00284C4F">
                              <w:rPr>
                                <w:sz w:val="18"/>
                                <w:szCs w:val="18"/>
                              </w:rPr>
                              <w:fldChar w:fldCharType="separate"/>
                            </w:r>
                            <w:r>
                              <w:rPr>
                                <w:noProof/>
                                <w:sz w:val="18"/>
                                <w:szCs w:val="18"/>
                              </w:rPr>
                              <w:t>11</w:t>
                            </w:r>
                            <w:r w:rsidRPr="00284C4F">
                              <w:rPr>
                                <w:sz w:val="18"/>
                                <w:szCs w:val="18"/>
                              </w:rPr>
                              <w:fldChar w:fldCharType="end"/>
                            </w:r>
                            <w:r w:rsidRPr="00284C4F">
                              <w:rPr>
                                <w:sz w:val="18"/>
                                <w:szCs w:val="18"/>
                              </w:rPr>
                              <w:t>. Fases revisión sistemática</w:t>
                            </w:r>
                            <w:r>
                              <w:rPr>
                                <w:sz w:val="18"/>
                                <w:szCs w:val="18"/>
                              </w:rPr>
                              <w:t xml:space="preserve">, </w:t>
                            </w:r>
                            <w:r>
                              <w:rPr>
                                <w:color w:val="000000" w:themeColor="text1"/>
                                <w:sz w:val="18"/>
                                <w:szCs w:val="18"/>
                              </w:rPr>
                              <w:t xml:space="preserve">Basado </w:t>
                            </w:r>
                            <w:proofErr w:type="gramStart"/>
                            <w:r>
                              <w:rPr>
                                <w:color w:val="000000" w:themeColor="text1"/>
                                <w:sz w:val="18"/>
                                <w:szCs w:val="18"/>
                              </w:rPr>
                              <w:t xml:space="preserve">en </w:t>
                            </w:r>
                            <w:r w:rsidRPr="002F7D16">
                              <w:rPr>
                                <w:color w:val="000000" w:themeColor="text1"/>
                                <w:sz w:val="18"/>
                                <w:szCs w:val="18"/>
                              </w:rPr>
                              <w:t xml:space="preserve"> </w:t>
                            </w:r>
                            <w:proofErr w:type="spellStart"/>
                            <w:r w:rsidRPr="002F7D16">
                              <w:rPr>
                                <w:color w:val="000000" w:themeColor="text1"/>
                                <w:sz w:val="18"/>
                                <w:szCs w:val="18"/>
                              </w:rPr>
                              <w:t>Denyer</w:t>
                            </w:r>
                            <w:proofErr w:type="spellEnd"/>
                            <w:proofErr w:type="gramEnd"/>
                            <w:r w:rsidRPr="002F7D16">
                              <w:rPr>
                                <w:color w:val="000000" w:themeColor="text1"/>
                                <w:sz w:val="18"/>
                                <w:szCs w:val="18"/>
                              </w:rPr>
                              <w:t xml:space="preserve">, D., &amp; </w:t>
                            </w:r>
                            <w:proofErr w:type="spellStart"/>
                            <w:r w:rsidRPr="002F7D16">
                              <w:rPr>
                                <w:color w:val="000000" w:themeColor="text1"/>
                                <w:sz w:val="18"/>
                                <w:szCs w:val="18"/>
                              </w:rPr>
                              <w:t>Tranfield</w:t>
                            </w:r>
                            <w:proofErr w:type="spellEnd"/>
                            <w:r w:rsidRPr="002F7D16">
                              <w:rPr>
                                <w:color w:val="000000" w:themeColor="text1"/>
                                <w:sz w:val="18"/>
                                <w:szCs w:val="18"/>
                              </w:rPr>
                              <w:t xml:space="preserve">, D. (2009). </w:t>
                            </w:r>
                            <w:r w:rsidRPr="002F7D16">
                              <w:rPr>
                                <w:color w:val="000000" w:themeColor="text1"/>
                                <w:sz w:val="18"/>
                                <w:szCs w:val="18"/>
                                <w:lang w:val="en-US"/>
                              </w:rPr>
                              <w:t xml:space="preserve">Producing a systematic review. In D. A. Buchanan &amp; A. Bryman (Eds.), The Sage handbook of organizational research methods (pp. 671–689). </w:t>
                            </w:r>
                            <w:r w:rsidRPr="002F7D16">
                              <w:rPr>
                                <w:color w:val="000000" w:themeColor="text1"/>
                                <w:sz w:val="18"/>
                                <w:szCs w:val="18"/>
                              </w:rPr>
                              <w:t xml:space="preserve">Sage </w:t>
                            </w:r>
                            <w:proofErr w:type="spellStart"/>
                            <w:r w:rsidRPr="002F7D16">
                              <w:rPr>
                                <w:color w:val="000000" w:themeColor="text1"/>
                                <w:sz w:val="18"/>
                                <w:szCs w:val="18"/>
                              </w:rPr>
                              <w:t>Publications</w:t>
                            </w:r>
                            <w:proofErr w:type="spellEnd"/>
                            <w:r w:rsidRPr="002F7D16">
                              <w:rPr>
                                <w:color w:val="000000" w:themeColor="text1"/>
                                <w:sz w:val="18"/>
                                <w:szCs w:val="18"/>
                              </w:rPr>
                              <w:t xml:space="preserve"> Ltd.</w:t>
                            </w:r>
                            <w:bookmarkEnd w:id="8"/>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8DDE27" id="Cuadro de texto 31" o:spid="_x0000_s1027" type="#_x0000_t202" style="position:absolute;margin-left:-17.75pt;margin-top:280.65pt;width:525.75pt;height: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dAHQIAAEIEAAAOAAAAZHJzL2Uyb0RvYy54bWysU8Fu2zAMvQ/YPwi6L05SNC2MOEWWIsOA&#10;oC2QFj0rshwLkEWNUmJ3Xz9KjpOu22nYRaZFiuR7fJzfdY1hR4Vegy34ZDTmTFkJpbb7gr88r7/c&#10;cuaDsKUwYFXB35Tnd4vPn+aty9UUajClQkZJrM9bV/A6BJdnmZe1aoQfgVOWnBVgIwL94j4rUbSU&#10;vTHZdDyeZS1g6RCk8p5u73snX6T8VaVkeKwqrwIzBafeQjoxnbt4Zou5yPcoXK3lqQ3xD100Qlsq&#10;ek51L4JgB9R/pGq0RPBQhZGEJoOq0lIlDIRmMv6AZlsLpxIWIse7M03+/6WVD8ete0IWuq/Q0QAj&#10;Ia3zuafLiKersIlf6pSRnyh8O9OmusAkXc5mNzfj6TVnknxX06vb68Rrdnnt0IdvChoWjYIjjSWx&#10;JY4bH6gihQ4hsZgHo8u1Nib+RMfKIDsKGmFb66Bij/TityhjY6yF+Kp3x5vsAiVaodt1TJfvYO6g&#10;fCP0CL0wvJNrTfU2wocngaQEAkzqDo90VAbagsPJ4qwG/Pm3+xhPAyIvZy0pq+D+x0Gg4sx8tzS6&#10;KMPBwMHYDYY9NCsgpBPaGyeTSQ8wmMGsEJpXEv0yViGXsJJqFTwM5ir0+qalkWq5TEEkNifCxm6d&#10;jKkHXp+7V4HuNJVA83yAQXMi/zCcPrZneXkIUOk0uchrz+KJbhJqGs9pqeImvP9PUZfVX/wCAAD/&#10;/wMAUEsDBBQABgAIAAAAIQDRK//84QAAAAwBAAAPAAAAZHJzL2Rvd25yZXYueG1sTI/LbsIwEEX3&#10;lfoP1lTqpgLnoURViINaaHftAopYD7FJosbjyHZI+PuaVVmO5ujce8v1rHt2UdZ1hgTEywiYotrI&#10;jhoBh5/PxSsw55Ek9oaUgKtysK4eH0ospJlopy5737AgIVeggNb7oeDc1a3S6JZmUBR+Z2M1+nDa&#10;hkuLU5DrnidRlHONHYWEFge1aVX9ux+1gHxrx2lHm5ft4eMLv4cmOb5fj0I8P81vK2Bezf4fhlv9&#10;UB2q0OlkRpKO9QIWaZYFVECWxymwGxHFeZh3Cv44SYFXJb8fUf0BAAD//wMAUEsBAi0AFAAGAAgA&#10;AAAhALaDOJL+AAAA4QEAABMAAAAAAAAAAAAAAAAAAAAAAFtDb250ZW50X1R5cGVzXS54bWxQSwEC&#10;LQAUAAYACAAAACEAOP0h/9YAAACUAQAACwAAAAAAAAAAAAAAAAAvAQAAX3JlbHMvLnJlbHNQSwEC&#10;LQAUAAYACAAAACEAjof3QB0CAABCBAAADgAAAAAAAAAAAAAAAAAuAgAAZHJzL2Uyb0RvYy54bWxQ&#10;SwECLQAUAAYACAAAACEA0Sv//OEAAAAMAQAADwAAAAAAAAAAAAAAAAB3BAAAZHJzL2Rvd25yZXYu&#10;eG1sUEsFBgAAAAAEAAQA8wAAAIUFAAAAAA==&#10;" stroked="f">
                <v:textbox inset="0,0,0,0">
                  <w:txbxContent>
                    <w:p w14:paraId="6B25D305" w14:textId="77777777" w:rsidR="00B55C99" w:rsidRDefault="00B55C99" w:rsidP="00B55C99">
                      <w:pPr>
                        <w:pStyle w:val="Descripcin"/>
                        <w:spacing w:line="240" w:lineRule="auto"/>
                        <w:jc w:val="center"/>
                      </w:pPr>
                      <w:bookmarkStart w:id="9" w:name="_Toc194544096"/>
                      <w:r w:rsidRPr="00284C4F">
                        <w:rPr>
                          <w:sz w:val="18"/>
                          <w:szCs w:val="18"/>
                        </w:rPr>
                        <w:t xml:space="preserve">Ilustración </w:t>
                      </w:r>
                      <w:r w:rsidRPr="00284C4F">
                        <w:rPr>
                          <w:sz w:val="18"/>
                          <w:szCs w:val="18"/>
                        </w:rPr>
                        <w:fldChar w:fldCharType="begin"/>
                      </w:r>
                      <w:r w:rsidRPr="00284C4F">
                        <w:rPr>
                          <w:sz w:val="18"/>
                          <w:szCs w:val="18"/>
                        </w:rPr>
                        <w:instrText xml:space="preserve"> SEQ Ilustración \* ARABIC </w:instrText>
                      </w:r>
                      <w:r w:rsidRPr="00284C4F">
                        <w:rPr>
                          <w:sz w:val="18"/>
                          <w:szCs w:val="18"/>
                        </w:rPr>
                        <w:fldChar w:fldCharType="separate"/>
                      </w:r>
                      <w:r>
                        <w:rPr>
                          <w:noProof/>
                          <w:sz w:val="18"/>
                          <w:szCs w:val="18"/>
                        </w:rPr>
                        <w:t>11</w:t>
                      </w:r>
                      <w:r w:rsidRPr="00284C4F">
                        <w:rPr>
                          <w:sz w:val="18"/>
                          <w:szCs w:val="18"/>
                        </w:rPr>
                        <w:fldChar w:fldCharType="end"/>
                      </w:r>
                      <w:r w:rsidRPr="00284C4F">
                        <w:rPr>
                          <w:sz w:val="18"/>
                          <w:szCs w:val="18"/>
                        </w:rPr>
                        <w:t>. Fases revisión sistemática</w:t>
                      </w:r>
                      <w:r>
                        <w:rPr>
                          <w:sz w:val="18"/>
                          <w:szCs w:val="18"/>
                        </w:rPr>
                        <w:t xml:space="preserve">, </w:t>
                      </w:r>
                      <w:r>
                        <w:rPr>
                          <w:color w:val="000000" w:themeColor="text1"/>
                          <w:sz w:val="18"/>
                          <w:szCs w:val="18"/>
                        </w:rPr>
                        <w:t xml:space="preserve">Basado </w:t>
                      </w:r>
                      <w:proofErr w:type="gramStart"/>
                      <w:r>
                        <w:rPr>
                          <w:color w:val="000000" w:themeColor="text1"/>
                          <w:sz w:val="18"/>
                          <w:szCs w:val="18"/>
                        </w:rPr>
                        <w:t xml:space="preserve">en </w:t>
                      </w:r>
                      <w:r w:rsidRPr="002F7D16">
                        <w:rPr>
                          <w:color w:val="000000" w:themeColor="text1"/>
                          <w:sz w:val="18"/>
                          <w:szCs w:val="18"/>
                        </w:rPr>
                        <w:t xml:space="preserve"> </w:t>
                      </w:r>
                      <w:proofErr w:type="spellStart"/>
                      <w:r w:rsidRPr="002F7D16">
                        <w:rPr>
                          <w:color w:val="000000" w:themeColor="text1"/>
                          <w:sz w:val="18"/>
                          <w:szCs w:val="18"/>
                        </w:rPr>
                        <w:t>Denyer</w:t>
                      </w:r>
                      <w:proofErr w:type="spellEnd"/>
                      <w:proofErr w:type="gramEnd"/>
                      <w:r w:rsidRPr="002F7D16">
                        <w:rPr>
                          <w:color w:val="000000" w:themeColor="text1"/>
                          <w:sz w:val="18"/>
                          <w:szCs w:val="18"/>
                        </w:rPr>
                        <w:t xml:space="preserve">, D., &amp; </w:t>
                      </w:r>
                      <w:proofErr w:type="spellStart"/>
                      <w:r w:rsidRPr="002F7D16">
                        <w:rPr>
                          <w:color w:val="000000" w:themeColor="text1"/>
                          <w:sz w:val="18"/>
                          <w:szCs w:val="18"/>
                        </w:rPr>
                        <w:t>Tranfield</w:t>
                      </w:r>
                      <w:proofErr w:type="spellEnd"/>
                      <w:r w:rsidRPr="002F7D16">
                        <w:rPr>
                          <w:color w:val="000000" w:themeColor="text1"/>
                          <w:sz w:val="18"/>
                          <w:szCs w:val="18"/>
                        </w:rPr>
                        <w:t xml:space="preserve">, D. (2009). </w:t>
                      </w:r>
                      <w:r w:rsidRPr="002F7D16">
                        <w:rPr>
                          <w:color w:val="000000" w:themeColor="text1"/>
                          <w:sz w:val="18"/>
                          <w:szCs w:val="18"/>
                          <w:lang w:val="en-US"/>
                        </w:rPr>
                        <w:t xml:space="preserve">Producing a systematic review. In D. A. Buchanan &amp; A. Bryman (Eds.), The Sage handbook of organizational research methods (pp. 671–689). </w:t>
                      </w:r>
                      <w:r w:rsidRPr="002F7D16">
                        <w:rPr>
                          <w:color w:val="000000" w:themeColor="text1"/>
                          <w:sz w:val="18"/>
                          <w:szCs w:val="18"/>
                        </w:rPr>
                        <w:t xml:space="preserve">Sage </w:t>
                      </w:r>
                      <w:proofErr w:type="spellStart"/>
                      <w:r w:rsidRPr="002F7D16">
                        <w:rPr>
                          <w:color w:val="000000" w:themeColor="text1"/>
                          <w:sz w:val="18"/>
                          <w:szCs w:val="18"/>
                        </w:rPr>
                        <w:t>Publications</w:t>
                      </w:r>
                      <w:proofErr w:type="spellEnd"/>
                      <w:r w:rsidRPr="002F7D16">
                        <w:rPr>
                          <w:color w:val="000000" w:themeColor="text1"/>
                          <w:sz w:val="18"/>
                          <w:szCs w:val="18"/>
                        </w:rPr>
                        <w:t xml:space="preserve"> Ltd.</w:t>
                      </w:r>
                      <w:bookmarkEnd w:id="9"/>
                    </w:p>
                  </w:txbxContent>
                </v:textbox>
                <w10:wrap type="square" anchorx="margin"/>
              </v:shape>
            </w:pict>
          </mc:Fallback>
        </mc:AlternateContent>
      </w:r>
      <w:r w:rsidRPr="00291D9E">
        <w:rPr>
          <w:rFonts w:ascii="Arial" w:eastAsia="Times New Roman" w:hAnsi="Arial" w:cs="Arial"/>
          <w:noProof/>
          <w:sz w:val="24"/>
          <w:szCs w:val="24"/>
        </w:rPr>
        <w:drawing>
          <wp:anchor distT="0" distB="0" distL="114300" distR="114300" simplePos="0" relativeHeight="251661312" behindDoc="0" locked="0" layoutInCell="1" allowOverlap="1" wp14:anchorId="5B34D3F5" wp14:editId="14B43CA4">
            <wp:simplePos x="0" y="0"/>
            <wp:positionH relativeFrom="margin">
              <wp:posOffset>262309</wp:posOffset>
            </wp:positionH>
            <wp:positionV relativeFrom="paragraph">
              <wp:posOffset>1614129</wp:posOffset>
            </wp:positionV>
            <wp:extent cx="5467350" cy="2009775"/>
            <wp:effectExtent l="0" t="0" r="19050" b="0"/>
            <wp:wrapSquare wrapText="bothSides"/>
            <wp:docPr id="30" name="Diagrama 3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page">
              <wp14:pctWidth>0</wp14:pctWidth>
            </wp14:sizeRelH>
            <wp14:sizeRelV relativeFrom="page">
              <wp14:pctHeight>0</wp14:pctHeight>
            </wp14:sizeRelV>
          </wp:anchor>
        </w:drawing>
      </w:r>
      <w:r w:rsidRPr="00291D9E">
        <w:rPr>
          <w:rFonts w:ascii="Arial" w:eastAsia="Times New Roman" w:hAnsi="Arial" w:cs="Arial"/>
          <w:sz w:val="24"/>
          <w:szCs w:val="24"/>
        </w:rPr>
        <w:t xml:space="preserve">En esta fase se decide realizar una revisión amplia del contexto en busca de la construcción de la ecuación final, </w:t>
      </w:r>
      <w:proofErr w:type="spellStart"/>
      <w:r w:rsidRPr="00291D9E">
        <w:rPr>
          <w:rFonts w:ascii="Arial" w:eastAsia="Times New Roman" w:hAnsi="Arial" w:cs="Arial"/>
          <w:sz w:val="24"/>
          <w:szCs w:val="24"/>
        </w:rPr>
        <w:t>Medionte</w:t>
      </w:r>
      <w:proofErr w:type="spellEnd"/>
      <w:r w:rsidRPr="00291D9E">
        <w:rPr>
          <w:rFonts w:ascii="Arial" w:eastAsia="Times New Roman" w:hAnsi="Arial" w:cs="Arial"/>
          <w:sz w:val="24"/>
          <w:szCs w:val="24"/>
        </w:rPr>
        <w:t xml:space="preserve"> la prueba y error en bases de datos, lectura </w:t>
      </w:r>
      <w:r w:rsidRPr="00291D9E">
        <w:rPr>
          <w:rFonts w:ascii="Arial" w:eastAsia="Times New Roman" w:hAnsi="Arial" w:cs="Arial"/>
          <w:sz w:val="24"/>
          <w:szCs w:val="24"/>
        </w:rPr>
        <w:lastRenderedPageBreak/>
        <w:t xml:space="preserve">de títulos y </w:t>
      </w:r>
      <w:r w:rsidRPr="00291D9E">
        <w:rPr>
          <w:rFonts w:ascii="Arial" w:hAnsi="Arial" w:cs="Arial"/>
          <w:sz w:val="24"/>
          <w:szCs w:val="24"/>
        </w:rPr>
        <w:t xml:space="preserve">resúmenes </w:t>
      </w:r>
      <w:r w:rsidRPr="00291D9E">
        <w:rPr>
          <w:rFonts w:ascii="Arial" w:eastAsia="Times New Roman" w:hAnsi="Arial" w:cs="Arial"/>
          <w:sz w:val="24"/>
          <w:szCs w:val="24"/>
        </w:rPr>
        <w:t>de artículos y revisión de indicadores bibliométricos para realizar la filtración de artículos. Dado que esta fase se basa teóricamente en una revisión sistémica</w:t>
      </w:r>
      <w:r w:rsidRPr="00291D9E">
        <w:rPr>
          <w:rFonts w:ascii="Arial" w:hAnsi="Arial" w:cs="Arial"/>
          <w:sz w:val="24"/>
          <w:szCs w:val="24"/>
        </w:rPr>
        <w:t>,</w:t>
      </w:r>
      <w:r w:rsidRPr="00291D9E">
        <w:rPr>
          <w:rFonts w:ascii="Arial" w:eastAsia="Times New Roman" w:hAnsi="Arial" w:cs="Arial"/>
          <w:sz w:val="24"/>
          <w:szCs w:val="24"/>
        </w:rPr>
        <w:t xml:space="preserve"> se desarrolló teniendo en cuenta los siguientes pasos.</w:t>
      </w:r>
    </w:p>
    <w:p w14:paraId="3AAE5A04" w14:textId="77777777" w:rsidR="00B55C99" w:rsidRPr="00291D9E" w:rsidRDefault="00B55C99" w:rsidP="00B55C99">
      <w:pPr>
        <w:spacing w:line="480" w:lineRule="exact"/>
        <w:rPr>
          <w:rFonts w:ascii="Arial" w:hAnsi="Arial" w:cs="Arial"/>
          <w:sz w:val="24"/>
          <w:szCs w:val="24"/>
        </w:rPr>
      </w:pPr>
      <w:r w:rsidRPr="00291D9E">
        <w:rPr>
          <w:rFonts w:ascii="Arial" w:eastAsia="Times New Roman" w:hAnsi="Arial" w:cs="Arial"/>
          <w:noProof/>
          <w:sz w:val="24"/>
          <w:szCs w:val="24"/>
        </w:rPr>
        <w:t xml:space="preserve"> </w:t>
      </w:r>
    </w:p>
    <w:p w14:paraId="4DC02225" w14:textId="17BC6691" w:rsidR="00B55C99" w:rsidRPr="00291D9E" w:rsidRDefault="00B55C99" w:rsidP="00B55C99">
      <w:pPr>
        <w:pStyle w:val="Ttulo3"/>
        <w:spacing w:line="480" w:lineRule="exact"/>
        <w:rPr>
          <w:rFonts w:ascii="Arial" w:hAnsi="Arial" w:cs="Arial"/>
        </w:rPr>
      </w:pPr>
      <w:bookmarkStart w:id="10" w:name="_Toc194567226"/>
      <w:r w:rsidRPr="00291D9E">
        <w:rPr>
          <w:rFonts w:ascii="Arial" w:eastAsia="Times New Roman" w:hAnsi="Arial" w:cs="Arial"/>
        </w:rPr>
        <w:t>Revisión de literatura gris</w:t>
      </w:r>
      <w:bookmarkEnd w:id="10"/>
      <w:r w:rsidRPr="00291D9E">
        <w:rPr>
          <w:rFonts w:ascii="Arial" w:eastAsia="Times New Roman" w:hAnsi="Arial" w:cs="Arial"/>
        </w:rPr>
        <w:t xml:space="preserve"> </w:t>
      </w:r>
    </w:p>
    <w:p w14:paraId="5EEAC559" w14:textId="77777777" w:rsidR="00B55C99" w:rsidRPr="00291D9E" w:rsidRDefault="00B55C99" w:rsidP="00B55C99">
      <w:pPr>
        <w:spacing w:line="480" w:lineRule="exact"/>
        <w:rPr>
          <w:rFonts w:ascii="Arial" w:hAnsi="Arial" w:cs="Arial"/>
          <w:b/>
          <w:i/>
          <w:sz w:val="24"/>
          <w:szCs w:val="24"/>
        </w:rPr>
      </w:pPr>
      <w:r w:rsidRPr="00291D9E">
        <w:rPr>
          <w:rFonts w:ascii="Arial" w:eastAsia="Times New Roman" w:hAnsi="Arial" w:cs="Arial"/>
          <w:sz w:val="24"/>
          <w:szCs w:val="24"/>
        </w:rPr>
        <w:t xml:space="preserve">Se da inicio con la revisión de literatura gris en las bases de datos académicas no indexadas para identificar los términos claves relevantes para la investigación, adicionalmente se seleccionó los documentos relevantes con el propósito de diversificar los términos claves para una posterior consulta en las bases de datos científicas. </w:t>
      </w:r>
    </w:p>
    <w:p w14:paraId="6FA1D45A" w14:textId="31B794E1" w:rsidR="00B55C99" w:rsidRPr="00291D9E" w:rsidRDefault="00B55C99" w:rsidP="00B55C99">
      <w:pPr>
        <w:pStyle w:val="Ttulo3"/>
        <w:spacing w:line="480" w:lineRule="exact"/>
        <w:ind w:left="0" w:firstLine="0"/>
        <w:rPr>
          <w:rFonts w:ascii="Arial" w:hAnsi="Arial" w:cs="Arial"/>
        </w:rPr>
      </w:pPr>
      <w:bookmarkStart w:id="11" w:name="_Toc194567227"/>
      <w:r w:rsidRPr="00291D9E">
        <w:rPr>
          <w:rFonts w:ascii="Arial" w:eastAsia="Times New Roman" w:hAnsi="Arial" w:cs="Arial"/>
        </w:rPr>
        <w:t xml:space="preserve">Selección de bases de datos y fuentes de </w:t>
      </w:r>
      <w:r w:rsidRPr="00291D9E">
        <w:rPr>
          <w:rFonts w:ascii="Arial" w:hAnsi="Arial" w:cs="Arial"/>
        </w:rPr>
        <w:t>información</w:t>
      </w:r>
      <w:bookmarkEnd w:id="11"/>
      <w:r w:rsidRPr="00291D9E">
        <w:rPr>
          <w:rFonts w:ascii="Arial" w:eastAsia="Times New Roman" w:hAnsi="Arial" w:cs="Arial"/>
        </w:rPr>
        <w:t xml:space="preserve"> </w:t>
      </w:r>
    </w:p>
    <w:p w14:paraId="2E5C658D" w14:textId="77777777" w:rsidR="00B55C99" w:rsidRPr="00291D9E" w:rsidRDefault="00B55C99" w:rsidP="00B55C99">
      <w:pPr>
        <w:spacing w:line="480" w:lineRule="exact"/>
        <w:rPr>
          <w:rFonts w:ascii="Arial" w:hAnsi="Arial" w:cs="Arial"/>
          <w:b/>
          <w:i/>
          <w:sz w:val="24"/>
          <w:szCs w:val="24"/>
        </w:rPr>
      </w:pPr>
      <w:r w:rsidRPr="00291D9E">
        <w:rPr>
          <w:rFonts w:ascii="Arial" w:eastAsia="Times New Roman" w:hAnsi="Arial" w:cs="Arial"/>
          <w:sz w:val="24"/>
          <w:szCs w:val="24"/>
        </w:rPr>
        <w:t xml:space="preserve">Debido a que es un tema abordado por varias áreas del conocimiento se opta por seleccionar directamente en la herramienta de SCOPUS dado que es la mayor base de datos multidisciplinar a nivel mundial de resúmenes, referencias e índices de literatura científica, técnica y médica en la cual se puede realizar estudios bibliométricos para la aplicación de criterios de selección de la información a procesar. (El </w:t>
      </w:r>
      <w:proofErr w:type="spellStart"/>
      <w:r w:rsidRPr="00291D9E">
        <w:rPr>
          <w:rFonts w:ascii="Arial" w:eastAsia="Times New Roman" w:hAnsi="Arial" w:cs="Arial"/>
          <w:sz w:val="24"/>
          <w:szCs w:val="24"/>
        </w:rPr>
        <w:t>servier</w:t>
      </w:r>
      <w:proofErr w:type="spellEnd"/>
      <w:r w:rsidRPr="00291D9E">
        <w:rPr>
          <w:rFonts w:ascii="Arial" w:eastAsia="Times New Roman" w:hAnsi="Arial" w:cs="Arial"/>
          <w:sz w:val="24"/>
          <w:szCs w:val="24"/>
        </w:rPr>
        <w:t xml:space="preserve">, 2023) </w:t>
      </w:r>
    </w:p>
    <w:p w14:paraId="29B09895" w14:textId="6AD74B29" w:rsidR="00B55C99" w:rsidRPr="00291D9E" w:rsidRDefault="00B55C99" w:rsidP="00B55C99">
      <w:pPr>
        <w:pStyle w:val="Ttulo3"/>
        <w:spacing w:line="480" w:lineRule="exact"/>
        <w:rPr>
          <w:rFonts w:ascii="Arial" w:hAnsi="Arial" w:cs="Arial"/>
        </w:rPr>
      </w:pPr>
      <w:bookmarkStart w:id="12" w:name="_Toc194567228"/>
      <w:r w:rsidRPr="00291D9E">
        <w:rPr>
          <w:rFonts w:ascii="Arial" w:eastAsia="Times New Roman" w:hAnsi="Arial" w:cs="Arial"/>
        </w:rPr>
        <w:t>Construcción de la ecuación de búsqueda</w:t>
      </w:r>
      <w:bookmarkEnd w:id="12"/>
      <w:r w:rsidRPr="00291D9E">
        <w:rPr>
          <w:rFonts w:ascii="Arial" w:eastAsia="Times New Roman" w:hAnsi="Arial" w:cs="Arial"/>
        </w:rPr>
        <w:t xml:space="preserve"> </w:t>
      </w:r>
    </w:p>
    <w:p w14:paraId="76DA551B" w14:textId="77777777" w:rsidR="00B55C99" w:rsidRPr="00291D9E" w:rsidRDefault="00B55C99" w:rsidP="00B55C99">
      <w:pPr>
        <w:spacing w:line="480" w:lineRule="exact"/>
        <w:rPr>
          <w:rFonts w:ascii="Arial" w:hAnsi="Arial" w:cs="Arial"/>
          <w:b/>
          <w:i/>
          <w:sz w:val="24"/>
          <w:szCs w:val="24"/>
        </w:rPr>
      </w:pPr>
      <w:proofErr w:type="spellStart"/>
      <w:r w:rsidRPr="00291D9E">
        <w:rPr>
          <w:rFonts w:ascii="Arial" w:eastAsia="Times New Roman" w:hAnsi="Arial" w:cs="Arial"/>
          <w:sz w:val="24"/>
          <w:szCs w:val="24"/>
        </w:rPr>
        <w:t>Medionte</w:t>
      </w:r>
      <w:proofErr w:type="spellEnd"/>
      <w:r w:rsidRPr="00291D9E">
        <w:rPr>
          <w:rFonts w:ascii="Arial" w:eastAsia="Times New Roman" w:hAnsi="Arial" w:cs="Arial"/>
          <w:sz w:val="24"/>
          <w:szCs w:val="24"/>
        </w:rPr>
        <w:t xml:space="preserve"> las palabras clave encontradas previamente se construye la primera versión de la ecuación de búsqueda para ejecutar en la herramienta Scopus y posteriormente poder evaluar los resultados que se obtienen con ella. </w:t>
      </w:r>
    </w:p>
    <w:p w14:paraId="30FFE9DD" w14:textId="606B526A" w:rsidR="00B55C99" w:rsidRPr="00291D9E" w:rsidRDefault="00B55C99" w:rsidP="00B55C99">
      <w:pPr>
        <w:pStyle w:val="Ttulo3"/>
        <w:spacing w:line="480" w:lineRule="exact"/>
        <w:rPr>
          <w:rFonts w:ascii="Arial" w:hAnsi="Arial" w:cs="Arial"/>
        </w:rPr>
      </w:pPr>
      <w:bookmarkStart w:id="13" w:name="_Toc194567229"/>
      <w:r w:rsidRPr="00291D9E">
        <w:rPr>
          <w:rFonts w:ascii="Arial" w:eastAsia="Times New Roman" w:hAnsi="Arial" w:cs="Arial"/>
        </w:rPr>
        <w:t>Análisis bibliométrico y definición de criterios de inclusión y exclusión</w:t>
      </w:r>
      <w:bookmarkEnd w:id="13"/>
      <w:r w:rsidRPr="00291D9E">
        <w:rPr>
          <w:rFonts w:ascii="Arial" w:eastAsia="Times New Roman" w:hAnsi="Arial" w:cs="Arial"/>
        </w:rPr>
        <w:t xml:space="preserve"> </w:t>
      </w:r>
    </w:p>
    <w:p w14:paraId="64BBA344" w14:textId="77777777" w:rsidR="00B55C99" w:rsidRPr="00291D9E" w:rsidRDefault="00B55C99" w:rsidP="00B55C99">
      <w:pPr>
        <w:spacing w:line="480" w:lineRule="exact"/>
        <w:rPr>
          <w:rFonts w:ascii="Arial" w:hAnsi="Arial" w:cs="Arial"/>
          <w:sz w:val="24"/>
          <w:szCs w:val="24"/>
        </w:rPr>
      </w:pPr>
      <w:r w:rsidRPr="00291D9E">
        <w:rPr>
          <w:rFonts w:ascii="Arial" w:eastAsia="Times New Roman" w:hAnsi="Arial" w:cs="Arial"/>
          <w:sz w:val="24"/>
          <w:szCs w:val="24"/>
        </w:rPr>
        <w:t xml:space="preserve">Basado en la ecuación de búsqueda construida y ejecutada para la obtención de resultados de la base de datos de Scopus, Se prosigue a realizar un análisis bibliométrico para estudiar los siguientes aspectos: países con más publicaciones, años con mayores publicaciones, áreas del conocimiento y autores más citados basado en </w:t>
      </w:r>
      <w:r w:rsidRPr="00291D9E">
        <w:rPr>
          <w:rFonts w:ascii="Arial" w:eastAsia="Times New Roman" w:hAnsi="Arial" w:cs="Arial"/>
          <w:sz w:val="24"/>
          <w:szCs w:val="24"/>
        </w:rPr>
        <w:lastRenderedPageBreak/>
        <w:t xml:space="preserve">dichos resultados se definen los criterios de inclusión, exclusión y calidad para depurar los resultados y aumentar la relevancia de los resultados. </w:t>
      </w:r>
    </w:p>
    <w:p w14:paraId="0D735BB2" w14:textId="1045835A" w:rsidR="00B55C99" w:rsidRPr="00291D9E" w:rsidRDefault="00B55C99" w:rsidP="00B55C99">
      <w:pPr>
        <w:pStyle w:val="Ttulo3"/>
        <w:spacing w:line="480" w:lineRule="exact"/>
        <w:rPr>
          <w:rFonts w:ascii="Arial" w:hAnsi="Arial" w:cs="Arial"/>
        </w:rPr>
      </w:pPr>
      <w:bookmarkStart w:id="14" w:name="_Toc194567230"/>
      <w:r w:rsidRPr="00291D9E">
        <w:rPr>
          <w:rFonts w:ascii="Arial" w:eastAsia="Times New Roman" w:hAnsi="Arial" w:cs="Arial"/>
        </w:rPr>
        <w:t>Análisis y Selección de Artículos</w:t>
      </w:r>
      <w:bookmarkEnd w:id="14"/>
      <w:r w:rsidRPr="00291D9E">
        <w:rPr>
          <w:rFonts w:ascii="Arial" w:eastAsia="Times New Roman" w:hAnsi="Arial" w:cs="Arial"/>
        </w:rPr>
        <w:t xml:space="preserve"> </w:t>
      </w:r>
    </w:p>
    <w:p w14:paraId="1D917609" w14:textId="77777777" w:rsidR="00B55C99" w:rsidRPr="00291D9E" w:rsidRDefault="00B55C99" w:rsidP="00B55C99">
      <w:pPr>
        <w:spacing w:line="480" w:lineRule="exact"/>
        <w:rPr>
          <w:rFonts w:ascii="Arial" w:hAnsi="Arial" w:cs="Arial"/>
          <w:sz w:val="24"/>
          <w:szCs w:val="24"/>
        </w:rPr>
      </w:pPr>
      <w:r w:rsidRPr="00291D9E">
        <w:rPr>
          <w:rFonts w:ascii="Arial" w:eastAsia="Times New Roman" w:hAnsi="Arial" w:cs="Arial"/>
          <w:sz w:val="24"/>
          <w:szCs w:val="24"/>
        </w:rPr>
        <w:t xml:space="preserve">Luego de la aplicación de los criterios definidos con anterioridad a la ecuación de búsqueda se hizo una lectura de los títulos y resúmenes arrojados como resultados de la consulta y así poder seleccionar los que tiene relevancia para la investigación. </w:t>
      </w:r>
    </w:p>
    <w:p w14:paraId="7069FDD9" w14:textId="55CCDB2D" w:rsidR="00B55C99" w:rsidRPr="00291D9E" w:rsidRDefault="00B55C99" w:rsidP="00B55C99">
      <w:pPr>
        <w:pStyle w:val="Ttulo3"/>
        <w:spacing w:line="480" w:lineRule="exact"/>
        <w:rPr>
          <w:rFonts w:ascii="Arial" w:hAnsi="Arial" w:cs="Arial"/>
        </w:rPr>
      </w:pPr>
      <w:bookmarkStart w:id="15" w:name="_Toc194567231"/>
      <w:r w:rsidRPr="00291D9E">
        <w:rPr>
          <w:rFonts w:ascii="Arial" w:eastAsia="Times New Roman" w:hAnsi="Arial" w:cs="Arial"/>
        </w:rPr>
        <w:t xml:space="preserve">Extracción de </w:t>
      </w:r>
      <w:r w:rsidRPr="00291D9E">
        <w:rPr>
          <w:rFonts w:ascii="Arial" w:hAnsi="Arial" w:cs="Arial"/>
        </w:rPr>
        <w:t>información</w:t>
      </w:r>
      <w:bookmarkEnd w:id="15"/>
      <w:r w:rsidRPr="00291D9E">
        <w:rPr>
          <w:rFonts w:ascii="Arial" w:eastAsia="Times New Roman" w:hAnsi="Arial" w:cs="Arial"/>
        </w:rPr>
        <w:t xml:space="preserve"> </w:t>
      </w:r>
    </w:p>
    <w:p w14:paraId="2D3C7215" w14:textId="77777777" w:rsidR="00B55C99" w:rsidRPr="00291D9E" w:rsidRDefault="00B55C99" w:rsidP="00B55C99">
      <w:pPr>
        <w:spacing w:line="480" w:lineRule="exact"/>
        <w:rPr>
          <w:rFonts w:ascii="Arial" w:hAnsi="Arial" w:cs="Arial"/>
          <w:sz w:val="24"/>
          <w:szCs w:val="24"/>
        </w:rPr>
      </w:pPr>
      <w:r w:rsidRPr="00291D9E">
        <w:rPr>
          <w:rFonts w:ascii="Arial" w:eastAsia="Times New Roman" w:hAnsi="Arial" w:cs="Arial"/>
          <w:sz w:val="24"/>
          <w:szCs w:val="24"/>
        </w:rPr>
        <w:t xml:space="preserve">Se extrajo de manera organizada, parafraseada y citada la información relevante que se encuentra en el desarrollo de la investigación del documento, así como los resultados obtenidos realizando también una identificación preliminar de los actores que intervienen en los sistemas Esto nos permitirá construir la base de datos para dar cumplimiento al segundo objetivo. </w:t>
      </w:r>
    </w:p>
    <w:p w14:paraId="02F15A09" w14:textId="2F013221" w:rsidR="00B55C99" w:rsidRPr="00291D9E" w:rsidRDefault="00B55C99" w:rsidP="00B55C99">
      <w:pPr>
        <w:pStyle w:val="Ttulo2"/>
        <w:spacing w:line="480" w:lineRule="exact"/>
        <w:rPr>
          <w:rFonts w:ascii="Arial" w:hAnsi="Arial" w:cs="Arial"/>
          <w:szCs w:val="24"/>
          <w:lang w:val="es-ES"/>
        </w:rPr>
      </w:pPr>
      <w:bookmarkStart w:id="16" w:name="_Toc194567232"/>
      <w:r w:rsidRPr="00291D9E">
        <w:rPr>
          <w:rFonts w:ascii="Arial" w:hAnsi="Arial" w:cs="Arial"/>
          <w:szCs w:val="24"/>
        </w:rPr>
        <w:t xml:space="preserve">Análisis de </w:t>
      </w:r>
      <w:r w:rsidRPr="00291D9E">
        <w:rPr>
          <w:rFonts w:ascii="Arial" w:hAnsi="Arial" w:cs="Arial"/>
          <w:szCs w:val="24"/>
          <w:lang w:val="es-ES"/>
        </w:rPr>
        <w:t>la dinámica del sistema de innovación territorial en Colombia.</w:t>
      </w:r>
      <w:bookmarkEnd w:id="16"/>
      <w:r w:rsidRPr="00291D9E">
        <w:rPr>
          <w:rFonts w:ascii="Arial" w:hAnsi="Arial" w:cs="Arial"/>
          <w:szCs w:val="24"/>
          <w:lang w:val="es-ES"/>
        </w:rPr>
        <w:t xml:space="preserve"> </w:t>
      </w:r>
    </w:p>
    <w:p w14:paraId="7BBB0E46" w14:textId="3BAEEE40" w:rsidR="00B55C99" w:rsidRPr="00291D9E" w:rsidRDefault="00B55C99" w:rsidP="00B55C99">
      <w:pPr>
        <w:spacing w:line="240" w:lineRule="auto"/>
        <w:rPr>
          <w:rFonts w:ascii="Arial" w:hAnsi="Arial" w:cs="Arial"/>
          <w:sz w:val="24"/>
          <w:szCs w:val="24"/>
          <w:lang w:val="es-ES"/>
        </w:rPr>
      </w:pPr>
      <w:r w:rsidRPr="00291D9E">
        <w:rPr>
          <w:rFonts w:ascii="Arial" w:eastAsia="Times New Roman" w:hAnsi="Arial" w:cs="Arial"/>
          <w:sz w:val="24"/>
          <w:szCs w:val="24"/>
          <w:lang w:val="es-ES"/>
        </w:rPr>
        <w:t xml:space="preserve">Basado en la revisión de literatura anterior se busca identificar los actores, relaciones y procesos involucrados en el sistema de innovación a nivel nacional, regional y local en Colombia, Se plantea realización de búsqueda de información en documentos oficiales como el DANE, COLCIENCIAS, la OCDE y organismos internacionales que están involucrados. Para finalmente analizar la información tenido en cuenta su rol en el sistema y el nivel de influencia y en cual nivel del sistema (nacional, regional, local) actúa. Con ayuda de la metodología de análisis de redes sociales debido a su énfasis en las interacciones y relaciones entre los actores dado que el territorio y los sistemas de innovación son inherentemente relacionales, el uso de la esta metodología funciona muy bien para realizar el análisis. El territorio está constituido por actores cuyas interacciones son cruciales para comprender los fenómenos socio territoriales, mientras que un sistema de innovación se define por el conjunto de actores y las relaciones que establecen para promover la innovación en el entorno donde se implemente. El ARS permite analizar cómo estos vínculos influyen en los resultados y dinámicas tanto del territorio como del sistema de innovación; adecuado para estudiar este tipo de sistemas, donde las interacciones son vitales para entender los resultados que alcanzan ya que permite ir más allá del análisis de atributos individuales de los actores y capturar la estructura de sus interdependencias </w:t>
      </w:r>
      <w:sdt>
        <w:sdtPr>
          <w:rPr>
            <w:rFonts w:ascii="Arial" w:hAnsi="Arial" w:cs="Arial"/>
            <w:sz w:val="24"/>
            <w:szCs w:val="24"/>
            <w:lang w:val="es-ES"/>
          </w:rPr>
          <w:id w:val="-70968380"/>
          <w:citation/>
        </w:sdtPr>
        <w:sdtContent>
          <w:r w:rsidRPr="00291D9E">
            <w:rPr>
              <w:rFonts w:ascii="Arial" w:hAnsi="Arial" w:cs="Arial"/>
              <w:sz w:val="24"/>
              <w:szCs w:val="24"/>
              <w:lang w:val="es-ES"/>
            </w:rPr>
            <w:fldChar w:fldCharType="begin"/>
          </w:r>
          <w:r w:rsidRPr="00291D9E">
            <w:rPr>
              <w:rFonts w:ascii="Arial" w:hAnsi="Arial" w:cs="Arial"/>
              <w:sz w:val="24"/>
              <w:szCs w:val="24"/>
            </w:rPr>
            <w:instrText xml:space="preserve"> CITATION Goi22 \l 9226 </w:instrText>
          </w:r>
          <w:r w:rsidRPr="00291D9E">
            <w:rPr>
              <w:rFonts w:ascii="Arial" w:hAnsi="Arial" w:cs="Arial"/>
              <w:sz w:val="24"/>
              <w:szCs w:val="24"/>
              <w:lang w:val="es-ES"/>
            </w:rPr>
            <w:fldChar w:fldCharType="separate"/>
          </w:r>
          <w:r w:rsidRPr="00291D9E">
            <w:rPr>
              <w:rFonts w:ascii="Arial" w:hAnsi="Arial" w:cs="Arial"/>
              <w:noProof/>
              <w:sz w:val="24"/>
              <w:szCs w:val="24"/>
            </w:rPr>
            <w:t>(Goinheix, 2022)</w:t>
          </w:r>
          <w:r w:rsidRPr="00291D9E">
            <w:rPr>
              <w:rFonts w:ascii="Arial" w:hAnsi="Arial" w:cs="Arial"/>
              <w:sz w:val="24"/>
              <w:szCs w:val="24"/>
              <w:lang w:val="es-ES"/>
            </w:rPr>
            <w:fldChar w:fldCharType="end"/>
          </w:r>
        </w:sdtContent>
      </w:sdt>
      <w:r w:rsidRPr="00291D9E">
        <w:rPr>
          <w:rFonts w:ascii="Arial" w:eastAsia="Times New Roman" w:hAnsi="Arial" w:cs="Arial"/>
          <w:sz w:val="24"/>
          <w:szCs w:val="24"/>
          <w:lang w:val="es-ES"/>
        </w:rPr>
        <w:t xml:space="preserve">, el modelo permite analizar como los actores empresas, universidades, gobierno, etc.) se relacionan entre sí para la producción, difusión y uso del conocimiento, facilita la identificación de actores centrales dentro del sistema , la cohesión entre </w:t>
      </w:r>
      <w:r w:rsidRPr="00291D9E">
        <w:rPr>
          <w:rFonts w:ascii="Arial" w:eastAsia="Times New Roman" w:hAnsi="Arial" w:cs="Arial"/>
          <w:sz w:val="24"/>
          <w:szCs w:val="24"/>
        </w:rPr>
        <w:t xml:space="preserve">ellos y los flujos de conocimiento y colaboración que impulsan la innovación; el modelo también ofrece  diversas medidas y técnicas que son valiosas para el diagnóstico de sistemas de </w:t>
      </w:r>
      <w:r w:rsidRPr="00291D9E">
        <w:rPr>
          <w:rFonts w:ascii="Arial" w:eastAsia="Times New Roman" w:hAnsi="Arial" w:cs="Arial"/>
          <w:sz w:val="24"/>
          <w:szCs w:val="24"/>
        </w:rPr>
        <w:lastRenderedPageBreak/>
        <w:t>innovación, como la identificación de brechas en la colaboración, la detección de actores aislados o la evaluación de la eficiencia de las redes de conocimiento. También tiene potencial como herramienta para la evaluación de políticas públicas de innovación, al permitir visualizar el papel de las organizaciones de apoyo y la posición de los agentes mejor conectados</w:t>
      </w:r>
      <w:r w:rsidRPr="00291D9E">
        <w:rPr>
          <w:rFonts w:ascii="Arial" w:eastAsia="Times New Roman" w:hAnsi="Arial" w:cs="Arial"/>
          <w:sz w:val="24"/>
          <w:szCs w:val="24"/>
          <w:lang w:val="es-ES"/>
        </w:rPr>
        <w:t xml:space="preserve"> </w:t>
      </w:r>
      <w:sdt>
        <w:sdtPr>
          <w:rPr>
            <w:rFonts w:ascii="Arial" w:hAnsi="Arial" w:cs="Arial"/>
            <w:sz w:val="24"/>
            <w:szCs w:val="24"/>
            <w:lang w:val="es-ES"/>
          </w:rPr>
          <w:id w:val="-1922791482"/>
          <w:citation/>
        </w:sdtPr>
        <w:sdtContent>
          <w:r w:rsidRPr="00291D9E">
            <w:rPr>
              <w:rFonts w:ascii="Arial" w:hAnsi="Arial" w:cs="Arial"/>
              <w:sz w:val="24"/>
              <w:szCs w:val="24"/>
              <w:lang w:val="es-ES"/>
            </w:rPr>
            <w:fldChar w:fldCharType="begin"/>
          </w:r>
          <w:r w:rsidRPr="00291D9E">
            <w:rPr>
              <w:rFonts w:ascii="Arial" w:hAnsi="Arial" w:cs="Arial"/>
              <w:sz w:val="24"/>
              <w:szCs w:val="24"/>
            </w:rPr>
            <w:instrText xml:space="preserve"> CITATION Coq14 \l 9226 </w:instrText>
          </w:r>
          <w:r w:rsidRPr="00291D9E">
            <w:rPr>
              <w:rFonts w:ascii="Arial" w:hAnsi="Arial" w:cs="Arial"/>
              <w:sz w:val="24"/>
              <w:szCs w:val="24"/>
              <w:lang w:val="es-ES"/>
            </w:rPr>
            <w:fldChar w:fldCharType="separate"/>
          </w:r>
          <w:r w:rsidRPr="00291D9E">
            <w:rPr>
              <w:rFonts w:ascii="Arial" w:hAnsi="Arial" w:cs="Arial"/>
              <w:noProof/>
              <w:sz w:val="24"/>
              <w:szCs w:val="24"/>
            </w:rPr>
            <w:t>(Coque, González-Torres, López-Mielgo, &amp; Vázquez, 2014)</w:t>
          </w:r>
          <w:r w:rsidRPr="00291D9E">
            <w:rPr>
              <w:rFonts w:ascii="Arial" w:hAnsi="Arial" w:cs="Arial"/>
              <w:sz w:val="24"/>
              <w:szCs w:val="24"/>
              <w:lang w:val="es-ES"/>
            </w:rPr>
            <w:fldChar w:fldCharType="end"/>
          </w:r>
        </w:sdtContent>
      </w:sdt>
      <w:r w:rsidRPr="00291D9E">
        <w:rPr>
          <w:rFonts w:ascii="Arial" w:eastAsia="Times New Roman" w:hAnsi="Arial" w:cs="Arial"/>
          <w:sz w:val="24"/>
          <w:szCs w:val="24"/>
          <w:lang w:val="es-ES"/>
        </w:rPr>
        <w:t>.Los pasos en el que se implementa este modelo son:</w:t>
      </w:r>
    </w:p>
    <w:p w14:paraId="521F7B35" w14:textId="77777777" w:rsidR="00B55C99" w:rsidRPr="00291D9E" w:rsidRDefault="00B55C99" w:rsidP="00B55C99">
      <w:pPr>
        <w:pStyle w:val="Prrafodelista"/>
        <w:spacing w:line="480" w:lineRule="exact"/>
        <w:rPr>
          <w:rFonts w:ascii="Arial" w:hAnsi="Arial" w:cs="Arial"/>
          <w:szCs w:val="24"/>
          <w:lang w:val="es-ES"/>
        </w:rPr>
      </w:pPr>
      <w:r w:rsidRPr="00291D9E">
        <w:rPr>
          <w:rFonts w:ascii="Arial" w:eastAsia="Times New Roman" w:hAnsi="Arial" w:cs="Arial"/>
          <w:szCs w:val="24"/>
          <w:lang w:val="es-ES"/>
        </w:rPr>
        <w:t>Identificar los actores que forman parte de la red</w:t>
      </w:r>
    </w:p>
    <w:p w14:paraId="1CC680B0" w14:textId="77777777" w:rsidR="00B55C99" w:rsidRPr="00291D9E" w:rsidRDefault="00B55C99" w:rsidP="00B55C99">
      <w:pPr>
        <w:pStyle w:val="Prrafodelista"/>
        <w:spacing w:line="480" w:lineRule="exact"/>
        <w:rPr>
          <w:rFonts w:ascii="Arial" w:hAnsi="Arial" w:cs="Arial"/>
          <w:szCs w:val="24"/>
          <w:lang w:val="es-ES"/>
        </w:rPr>
      </w:pPr>
      <w:r w:rsidRPr="00291D9E">
        <w:rPr>
          <w:rFonts w:ascii="Arial" w:eastAsia="Times New Roman" w:hAnsi="Arial" w:cs="Arial"/>
          <w:szCs w:val="24"/>
          <w:lang w:val="es-ES"/>
        </w:rPr>
        <w:t>Definir la naturaleza de las interacción o conexiones entre los actores pueden ser de diversos tipos como (colaboración, flujo de información, entre otros) puede ser dirigidas con dirección especifica o no dirigidas simplemente una conexión.</w:t>
      </w:r>
    </w:p>
    <w:p w14:paraId="0643B104" w14:textId="77777777" w:rsidR="00B55C99" w:rsidRPr="00291D9E" w:rsidRDefault="00B55C99" w:rsidP="00B55C99">
      <w:pPr>
        <w:pStyle w:val="Prrafodelista"/>
        <w:spacing w:line="480" w:lineRule="exact"/>
        <w:rPr>
          <w:rFonts w:ascii="Arial" w:hAnsi="Arial" w:cs="Arial"/>
          <w:szCs w:val="24"/>
          <w:lang w:val="es-ES"/>
        </w:rPr>
      </w:pPr>
      <w:r w:rsidRPr="00291D9E">
        <w:rPr>
          <w:rFonts w:ascii="Arial" w:eastAsia="Times New Roman" w:hAnsi="Arial" w:cs="Arial"/>
          <w:szCs w:val="24"/>
          <w:lang w:val="es-ES"/>
        </w:rPr>
        <w:t xml:space="preserve">Establecer criterios para incluir y excluir actores y relaciones. </w:t>
      </w:r>
    </w:p>
    <w:p w14:paraId="6DEA8818" w14:textId="77777777" w:rsidR="00B55C99" w:rsidRPr="00291D9E" w:rsidRDefault="00B55C99" w:rsidP="00B55C99">
      <w:pPr>
        <w:pStyle w:val="Prrafodelista"/>
        <w:spacing w:line="480" w:lineRule="exact"/>
        <w:rPr>
          <w:rFonts w:ascii="Arial" w:hAnsi="Arial" w:cs="Arial"/>
          <w:szCs w:val="24"/>
          <w:lang w:val="es-ES"/>
        </w:rPr>
      </w:pPr>
      <w:r w:rsidRPr="00291D9E">
        <w:rPr>
          <w:rFonts w:ascii="Arial" w:eastAsia="Times New Roman" w:hAnsi="Arial" w:cs="Arial"/>
          <w:szCs w:val="24"/>
          <w:lang w:val="es-ES"/>
        </w:rPr>
        <w:t xml:space="preserve">Recolección de información sobre las relaciones entre los actores de encuestas, datos secundarios, observaciones o información en línea. </w:t>
      </w:r>
    </w:p>
    <w:p w14:paraId="5973EFE9" w14:textId="56404A9C" w:rsidR="00B55C99" w:rsidRPr="00291D9E" w:rsidRDefault="00B55C99" w:rsidP="00B55C99">
      <w:pPr>
        <w:pStyle w:val="Prrafodelista"/>
        <w:spacing w:line="480" w:lineRule="exact"/>
        <w:rPr>
          <w:rFonts w:ascii="Arial" w:hAnsi="Arial" w:cs="Arial"/>
          <w:szCs w:val="24"/>
          <w:lang w:val="es-ES"/>
        </w:rPr>
      </w:pPr>
      <w:r w:rsidRPr="00291D9E">
        <w:rPr>
          <w:rFonts w:ascii="Arial" w:eastAsia="Times New Roman" w:hAnsi="Arial" w:cs="Arial"/>
          <w:szCs w:val="24"/>
          <w:lang w:val="es-ES"/>
        </w:rPr>
        <w:t>Presentación de los datos de la red Medi</w:t>
      </w:r>
      <w:r w:rsidRPr="00291D9E">
        <w:rPr>
          <w:rFonts w:ascii="Arial" w:eastAsia="Times New Roman" w:hAnsi="Arial" w:cs="Arial"/>
          <w:szCs w:val="24"/>
          <w:lang w:val="es-ES"/>
        </w:rPr>
        <w:t>an</w:t>
      </w:r>
      <w:r w:rsidRPr="00291D9E">
        <w:rPr>
          <w:rFonts w:ascii="Arial" w:eastAsia="Times New Roman" w:hAnsi="Arial" w:cs="Arial"/>
          <w:szCs w:val="24"/>
          <w:lang w:val="es-ES"/>
        </w:rPr>
        <w:t>te un sociograma o matriz de adyacencia.</w:t>
      </w:r>
    </w:p>
    <w:p w14:paraId="4FC7ACC3" w14:textId="120A136D" w:rsidR="00B55C99" w:rsidRPr="00291D9E" w:rsidRDefault="00B55C99" w:rsidP="00B55C99">
      <w:pPr>
        <w:pStyle w:val="Prrafodelista"/>
        <w:spacing w:line="480" w:lineRule="exact"/>
        <w:rPr>
          <w:rFonts w:ascii="Arial" w:hAnsi="Arial" w:cs="Arial"/>
          <w:szCs w:val="24"/>
          <w:lang w:val="es-ES"/>
        </w:rPr>
      </w:pPr>
      <w:r w:rsidRPr="00291D9E">
        <w:rPr>
          <w:rFonts w:ascii="Arial" w:eastAsia="Times New Roman" w:hAnsi="Arial" w:cs="Arial"/>
          <w:szCs w:val="24"/>
          <w:lang w:val="es-ES"/>
        </w:rPr>
        <w:t>Análisis de la red; descripción de la estructura de la red y las posiciones de los actores Medi</w:t>
      </w:r>
      <w:r w:rsidRPr="00291D9E">
        <w:rPr>
          <w:rFonts w:ascii="Arial" w:eastAsia="Times New Roman" w:hAnsi="Arial" w:cs="Arial"/>
          <w:szCs w:val="24"/>
          <w:lang w:val="es-ES"/>
        </w:rPr>
        <w:t>ante</w:t>
      </w:r>
      <w:r w:rsidRPr="00291D9E">
        <w:rPr>
          <w:rFonts w:ascii="Arial" w:eastAsia="Times New Roman" w:hAnsi="Arial" w:cs="Arial"/>
          <w:szCs w:val="24"/>
          <w:lang w:val="es-ES"/>
        </w:rPr>
        <w:t xml:space="preserve"> medidas de centralidad, medidas de cohesión y detención de comunidades(</w:t>
      </w:r>
      <w:proofErr w:type="spellStart"/>
      <w:r w:rsidRPr="00291D9E">
        <w:rPr>
          <w:rFonts w:ascii="Arial" w:eastAsia="Times New Roman" w:hAnsi="Arial" w:cs="Arial"/>
          <w:szCs w:val="24"/>
          <w:lang w:val="es-ES"/>
        </w:rPr>
        <w:t>clustering</w:t>
      </w:r>
      <w:proofErr w:type="spellEnd"/>
      <w:r w:rsidRPr="00291D9E">
        <w:rPr>
          <w:rFonts w:ascii="Arial" w:eastAsia="Times New Roman" w:hAnsi="Arial" w:cs="Arial"/>
          <w:szCs w:val="24"/>
          <w:lang w:val="es-ES"/>
        </w:rPr>
        <w:t xml:space="preserve">).  </w:t>
      </w:r>
      <w:sdt>
        <w:sdtPr>
          <w:rPr>
            <w:rFonts w:ascii="Arial" w:hAnsi="Arial" w:cs="Arial"/>
            <w:szCs w:val="24"/>
            <w:lang w:val="es-ES"/>
          </w:rPr>
          <w:id w:val="828261904"/>
          <w:citation/>
        </w:sdtPr>
        <w:sdtContent>
          <w:r w:rsidRPr="00291D9E">
            <w:rPr>
              <w:rFonts w:ascii="Arial" w:hAnsi="Arial" w:cs="Arial"/>
              <w:szCs w:val="24"/>
              <w:lang w:val="es-ES"/>
            </w:rPr>
            <w:fldChar w:fldCharType="begin"/>
          </w:r>
          <w:r w:rsidRPr="00291D9E">
            <w:rPr>
              <w:rFonts w:ascii="Arial" w:hAnsi="Arial" w:cs="Arial"/>
              <w:szCs w:val="24"/>
            </w:rPr>
            <w:instrText xml:space="preserve"> CITATION Goi22 \l 9226 </w:instrText>
          </w:r>
          <w:r w:rsidRPr="00291D9E">
            <w:rPr>
              <w:rFonts w:ascii="Arial" w:hAnsi="Arial" w:cs="Arial"/>
              <w:szCs w:val="24"/>
              <w:lang w:val="es-ES"/>
            </w:rPr>
            <w:fldChar w:fldCharType="separate"/>
          </w:r>
          <w:r w:rsidRPr="00291D9E">
            <w:rPr>
              <w:rFonts w:ascii="Arial" w:hAnsi="Arial" w:cs="Arial"/>
              <w:noProof/>
              <w:szCs w:val="24"/>
            </w:rPr>
            <w:t>(Goinheix, 2022)</w:t>
          </w:r>
          <w:r w:rsidRPr="00291D9E">
            <w:rPr>
              <w:rFonts w:ascii="Arial" w:hAnsi="Arial" w:cs="Arial"/>
              <w:szCs w:val="24"/>
              <w:lang w:val="es-ES"/>
            </w:rPr>
            <w:fldChar w:fldCharType="end"/>
          </w:r>
        </w:sdtContent>
      </w:sdt>
    </w:p>
    <w:p w14:paraId="3A3B9CFE" w14:textId="7B7B21FA" w:rsidR="00B55C99" w:rsidRPr="00291D9E" w:rsidRDefault="00B55C99" w:rsidP="00B55C99">
      <w:pPr>
        <w:pStyle w:val="Ttulo2"/>
        <w:spacing w:line="480" w:lineRule="exact"/>
        <w:rPr>
          <w:rFonts w:ascii="Arial" w:hAnsi="Arial" w:cs="Arial"/>
          <w:szCs w:val="24"/>
          <w:lang w:val="es-ES"/>
        </w:rPr>
      </w:pPr>
      <w:bookmarkStart w:id="17" w:name="_Toc194567233"/>
      <w:r w:rsidRPr="00291D9E">
        <w:rPr>
          <w:rFonts w:ascii="Arial" w:hAnsi="Arial" w:cs="Arial"/>
          <w:szCs w:val="24"/>
        </w:rPr>
        <w:t>Creación de base de datos.</w:t>
      </w:r>
      <w:bookmarkEnd w:id="17"/>
      <w:r w:rsidRPr="00291D9E">
        <w:rPr>
          <w:rFonts w:ascii="Arial" w:hAnsi="Arial" w:cs="Arial"/>
          <w:szCs w:val="24"/>
          <w:lang w:val="es-ES"/>
        </w:rPr>
        <w:t xml:space="preserve"> </w:t>
      </w:r>
    </w:p>
    <w:p w14:paraId="3828CBBA" w14:textId="0299E0D6" w:rsidR="00B55C99" w:rsidRPr="00291D9E" w:rsidRDefault="00B55C99" w:rsidP="00B55C99">
      <w:pPr>
        <w:spacing w:line="480" w:lineRule="exact"/>
        <w:rPr>
          <w:rFonts w:ascii="Arial" w:hAnsi="Arial" w:cs="Arial"/>
          <w:sz w:val="24"/>
          <w:szCs w:val="24"/>
          <w:lang w:val="es-ES"/>
        </w:rPr>
      </w:pPr>
      <w:r w:rsidRPr="00291D9E">
        <w:rPr>
          <w:rFonts w:ascii="Arial" w:eastAsia="Times New Roman" w:hAnsi="Arial" w:cs="Arial"/>
          <w:sz w:val="24"/>
          <w:szCs w:val="24"/>
          <w:lang w:val="es-ES"/>
        </w:rPr>
        <w:t>Luego de la identificación de los actores se realiza la búsqueda de los datos de contacto (página web, ubicación geográfica, correo y teléfono) para la creación de una base de datos que estará divida en los 32 departamentos del país donde se reúnan los datos y una breve descripción de sus funciones con el fin de que dicha información sea aprovechada por la población interesada.</w:t>
      </w:r>
      <w:r w:rsidRPr="00291D9E">
        <w:rPr>
          <w:rFonts w:ascii="Arial" w:eastAsia="Times New Roman" w:hAnsi="Arial" w:cs="Arial"/>
          <w:sz w:val="24"/>
          <w:szCs w:val="24"/>
        </w:rPr>
        <w:t xml:space="preserve">Para la construcción de la base de datos del sistema de innovación territorial en Colombia, se realizará un proceso estructurado de recopilación, validación y organización de información. Inicialmente, se identificarán los actores clave del ecosistema de innovación, incluyendo universidades y centros de investigación, empresas innovadoras, centros de desarrollo tecnológico (CDT), </w:t>
      </w:r>
      <w:r w:rsidRPr="00291D9E">
        <w:rPr>
          <w:rFonts w:ascii="Arial" w:eastAsia="Times New Roman" w:hAnsi="Arial" w:cs="Arial"/>
          <w:sz w:val="24"/>
          <w:szCs w:val="24"/>
        </w:rPr>
        <w:lastRenderedPageBreak/>
        <w:t>incubadoras de empresas de base tecnológica (IEBT) y oficinas de transferencia de resultados de investigación (OTRI), siguiendo los criterios de reconocimiento establecidos por el Ministerio de Ciencia, Tecnología e Innovación (</w:t>
      </w:r>
      <w:proofErr w:type="spellStart"/>
      <w:r w:rsidRPr="00291D9E">
        <w:rPr>
          <w:rFonts w:ascii="Arial" w:eastAsia="Times New Roman" w:hAnsi="Arial" w:cs="Arial"/>
          <w:sz w:val="24"/>
          <w:szCs w:val="24"/>
        </w:rPr>
        <w:t>MinCiencias</w:t>
      </w:r>
      <w:proofErr w:type="spellEnd"/>
      <w:r w:rsidRPr="00291D9E">
        <w:rPr>
          <w:rFonts w:ascii="Arial" w:eastAsia="Times New Roman" w:hAnsi="Arial" w:cs="Arial"/>
          <w:sz w:val="24"/>
          <w:szCs w:val="24"/>
        </w:rPr>
        <w:t>) y otras entidades oficiales. La categorización de la información se realizará a partir de tres dimensiones: departamento/región, tipo de actor y nivel de participación en el sistema de innovación, permitiendo un análisis estructurado y comparativo. La validación de la calidad de los datos incluirá la aplicación de criterios de inclusión y exclusión, priorizando fuentes actualizadas de los últimos cinco años y publicaciones oficiales, además de una comparación entre múltiples fuentes para identificar discrepancias o sesgos. Asimismo, se registrará la fecha de corte de la consulta, asegurando la actualización periódica de la información. Con esta metodología, se garantiza la construcción de una base de datos confiable, estructurada y útil para el diagnóstico del sistema de innovación territorial en Colombia</w:t>
      </w:r>
      <w:r w:rsidRPr="00291D9E">
        <w:rPr>
          <w:rFonts w:ascii="Arial" w:eastAsia="Times New Roman" w:hAnsi="Arial" w:cs="Arial"/>
          <w:sz w:val="24"/>
          <w:szCs w:val="24"/>
        </w:rPr>
        <w:t>.</w:t>
      </w:r>
    </w:p>
    <w:p w14:paraId="101C7C3C" w14:textId="415E53C4" w:rsidR="00B55C99" w:rsidRPr="00291D9E" w:rsidRDefault="00B55C99" w:rsidP="00B55C99">
      <w:pPr>
        <w:pStyle w:val="Ttulo2"/>
        <w:spacing w:line="480" w:lineRule="exact"/>
        <w:rPr>
          <w:rFonts w:ascii="Arial" w:hAnsi="Arial" w:cs="Arial"/>
          <w:szCs w:val="24"/>
        </w:rPr>
      </w:pPr>
      <w:bookmarkStart w:id="18" w:name="_Toc194567234"/>
      <w:r w:rsidRPr="00291D9E">
        <w:rPr>
          <w:rFonts w:ascii="Arial" w:hAnsi="Arial" w:cs="Arial"/>
          <w:szCs w:val="24"/>
        </w:rPr>
        <w:t>Diagnóstico</w:t>
      </w:r>
      <w:r w:rsidRPr="00291D9E">
        <w:rPr>
          <w:rFonts w:ascii="Arial" w:hAnsi="Arial" w:cs="Arial"/>
          <w:szCs w:val="24"/>
        </w:rPr>
        <w:t xml:space="preserve"> de capacidades de los sistemas.</w:t>
      </w:r>
      <w:bookmarkEnd w:id="18"/>
      <w:r w:rsidRPr="00291D9E">
        <w:rPr>
          <w:rFonts w:ascii="Arial" w:hAnsi="Arial" w:cs="Arial"/>
          <w:szCs w:val="24"/>
        </w:rPr>
        <w:t xml:space="preserve"> </w:t>
      </w:r>
    </w:p>
    <w:p w14:paraId="3CDA3DDE" w14:textId="752F5902" w:rsidR="00B55C99" w:rsidRPr="00922983" w:rsidRDefault="00B55C99" w:rsidP="00B55C99">
      <w:pPr>
        <w:spacing w:line="480" w:lineRule="exact"/>
        <w:rPr>
          <w:rFonts w:ascii="Arial" w:hAnsi="Arial" w:cs="Arial"/>
          <w:sz w:val="24"/>
          <w:szCs w:val="24"/>
        </w:rPr>
      </w:pPr>
      <w:r w:rsidRPr="00291D9E">
        <w:rPr>
          <w:rFonts w:ascii="Arial" w:eastAsia="Times New Roman" w:hAnsi="Arial" w:cs="Arial"/>
          <w:sz w:val="24"/>
          <w:szCs w:val="24"/>
        </w:rPr>
        <w:t xml:space="preserve">Para esta fase se realizará nuevamente una consulta que permita profundizar en los recursos claves que tiene cada actor en la actualidad determinado por infraestructura, recurso humanos y financiamiento para estudiar y determinar su desempeño en términos de innovación, identificando las fortalezas y debilidades en cada uno del departamento del país la cual va a hacer la división territorial para análisis </w:t>
      </w:r>
      <w:r w:rsidRPr="00291D9E">
        <w:rPr>
          <w:rFonts w:ascii="Arial" w:eastAsia="Times New Roman" w:hAnsi="Arial" w:cs="Arial"/>
          <w:sz w:val="24"/>
          <w:szCs w:val="24"/>
        </w:rPr>
        <w:t>posteriores. Mediante</w:t>
      </w:r>
      <w:r w:rsidRPr="00291D9E">
        <w:rPr>
          <w:rFonts w:ascii="Arial" w:eastAsia="Times New Roman" w:hAnsi="Arial" w:cs="Arial"/>
          <w:sz w:val="24"/>
          <w:szCs w:val="24"/>
        </w:rPr>
        <w:t xml:space="preserve"> en análisis de indicadores de desempeño existentes como el índice de competitividad, índice departamental de innovación, el ranking  de innovación de la a ANDI y la encuesta de innovación , entre otros,  desarrollados  por entidades especializadas en el tema se pasa a interpretar de manera analítica y descriptiva  lo que quiere evidenciar el resultado de dichos indicadores , realizado una a comparativa entre departamentos  poder alcanzar a generar  un el diagnóstico general de los sistemas en Colombia Mediante la elaboración de una matriz DOFA donde se plasmen los aspectos más relevantes y se pueden distinguir de manera clara y concisa los desafíos y las </w:t>
      </w:r>
      <w:r w:rsidRPr="00291D9E">
        <w:rPr>
          <w:rFonts w:ascii="Arial" w:eastAsia="Times New Roman" w:hAnsi="Arial" w:cs="Arial"/>
          <w:sz w:val="24"/>
          <w:szCs w:val="24"/>
        </w:rPr>
        <w:lastRenderedPageBreak/>
        <w:t>oportunidades, amenazas y fortalezas  que presentan actualmente los sistemas de innovación territorial en Colombia.</w:t>
      </w:r>
    </w:p>
    <w:bookmarkEnd w:id="1"/>
    <w:p w14:paraId="24BC8280" w14:textId="033EE5C5" w:rsidR="00440A49" w:rsidRPr="00291D9E" w:rsidRDefault="00440A49" w:rsidP="00440A49">
      <w:pPr>
        <w:spacing w:after="0" w:line="480" w:lineRule="auto"/>
        <w:ind w:left="709" w:hanging="709"/>
        <w:jc w:val="both"/>
        <w:rPr>
          <w:rFonts w:ascii="Arial" w:hAnsi="Arial" w:cs="Arial"/>
          <w:b/>
          <w:sz w:val="24"/>
          <w:szCs w:val="24"/>
        </w:rPr>
      </w:pPr>
      <w:r w:rsidRPr="00291D9E">
        <w:rPr>
          <w:rFonts w:ascii="Arial" w:hAnsi="Arial" w:cs="Arial"/>
          <w:b/>
          <w:sz w:val="24"/>
          <w:szCs w:val="24"/>
        </w:rPr>
        <w:t>Resultados</w:t>
      </w:r>
    </w:p>
    <w:p w14:paraId="154F468D" w14:textId="77777777" w:rsidR="00291D9E" w:rsidRPr="00291D9E" w:rsidRDefault="00291D9E" w:rsidP="00291D9E">
      <w:pPr>
        <w:spacing w:before="100" w:beforeAutospacing="1" w:after="100" w:afterAutospacing="1" w:line="240" w:lineRule="auto"/>
        <w:rPr>
          <w:rFonts w:ascii="Arial" w:eastAsia="Times New Roman" w:hAnsi="Arial" w:cs="Arial"/>
          <w:sz w:val="24"/>
          <w:szCs w:val="24"/>
        </w:rPr>
      </w:pPr>
      <w:r w:rsidRPr="00291D9E">
        <w:rPr>
          <w:rFonts w:ascii="Arial" w:eastAsia="Times New Roman" w:hAnsi="Arial" w:cs="Arial"/>
          <w:sz w:val="24"/>
          <w:szCs w:val="24"/>
        </w:rPr>
        <w:t>La revisión de literatura permitió identificar las principales aproximaciones teóricas y prácticas sobre los sistemas de innovación territorial, destacando su evolución desde los distritos industriales (Marshall, 1966) hasta los actuales ecosistemas emprendedores (Mason &amp; Brown, 2014). A través de un análisis bibliométrico con VOSviewer, basado en 1.093 documentos extraídos de Scopus, se evidenció un predominio temático en las áreas de negocios (37.9%), economía (20.6%) e ingeniería (13.8%), confirmando un enfoque empresarial-tecnológico en el abordaje del tema. Colombia presenta una baja incidencia investigativa, con solo el 2% de los artículos del corpus, lo que refleja una limitada apropiación conceptual del enfoque territorial de la innovación.</w:t>
      </w:r>
    </w:p>
    <w:p w14:paraId="40AE8F27" w14:textId="77777777" w:rsidR="00291D9E" w:rsidRPr="00291D9E" w:rsidRDefault="00291D9E" w:rsidP="00291D9E">
      <w:pPr>
        <w:spacing w:before="100" w:beforeAutospacing="1" w:after="100" w:afterAutospacing="1" w:line="240" w:lineRule="auto"/>
        <w:rPr>
          <w:rFonts w:ascii="Arial" w:eastAsia="Times New Roman" w:hAnsi="Arial" w:cs="Arial"/>
          <w:sz w:val="24"/>
          <w:szCs w:val="24"/>
        </w:rPr>
      </w:pPr>
      <w:r w:rsidRPr="00291D9E">
        <w:rPr>
          <w:rFonts w:ascii="Arial" w:eastAsia="Times New Roman" w:hAnsi="Arial" w:cs="Arial"/>
          <w:sz w:val="24"/>
          <w:szCs w:val="24"/>
        </w:rPr>
        <w:t>Asimismo, se destacó la importancia de modelos como la triple y cuádruple hélice para analizar la interacción entre academia, gobierno, empresas y sociedad civil. En el contexto latinoamericano, se identificó una creciente territorialización de las políticas de innovación, aunque con debilidades institucionales, baja inversión en I+D y limitada articulación entre actores. El estudio concluye que es necesario fortalecer la gobernanza y diseñar políticas diferenciadas que promuevan capacidades territoriales endógenas.</w:t>
      </w:r>
    </w:p>
    <w:p w14:paraId="0929F4EB" w14:textId="62DC6B81" w:rsidR="00291D9E" w:rsidRPr="00291D9E" w:rsidRDefault="00291D9E" w:rsidP="00291D9E">
      <w:pPr>
        <w:spacing w:before="100" w:beforeAutospacing="1" w:after="100" w:afterAutospacing="1" w:line="240" w:lineRule="auto"/>
        <w:rPr>
          <w:rFonts w:ascii="Arial" w:eastAsia="Times New Roman" w:hAnsi="Arial" w:cs="Arial"/>
          <w:sz w:val="24"/>
          <w:szCs w:val="24"/>
        </w:rPr>
      </w:pPr>
      <w:r w:rsidRPr="00291D9E">
        <w:rPr>
          <w:rFonts w:ascii="Arial" w:eastAsia="Times New Roman" w:hAnsi="Arial" w:cs="Arial"/>
          <w:sz w:val="24"/>
          <w:szCs w:val="24"/>
        </w:rPr>
        <w:t xml:space="preserve">Para identificar los actores de los sistemas de innovacion se realizó una triangulación de la información tomando informacion de entidades reconocida y autores </w:t>
      </w:r>
      <w:proofErr w:type="gramStart"/>
      <w:r w:rsidRPr="00291D9E">
        <w:rPr>
          <w:rFonts w:ascii="Arial" w:eastAsia="Times New Roman" w:hAnsi="Arial" w:cs="Arial"/>
          <w:sz w:val="24"/>
          <w:szCs w:val="24"/>
        </w:rPr>
        <w:t>referentes  en</w:t>
      </w:r>
      <w:proofErr w:type="gramEnd"/>
      <w:r w:rsidRPr="00291D9E">
        <w:rPr>
          <w:rFonts w:ascii="Arial" w:eastAsia="Times New Roman" w:hAnsi="Arial" w:cs="Arial"/>
          <w:sz w:val="24"/>
          <w:szCs w:val="24"/>
        </w:rPr>
        <w:t xml:space="preserve"> la literatura, del proceso se obtuvo el siguiente resultado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0"/>
        <w:gridCol w:w="2338"/>
        <w:gridCol w:w="2765"/>
        <w:gridCol w:w="2232"/>
      </w:tblGrid>
      <w:tr w:rsidR="00291D9E" w:rsidRPr="00291D9E" w14:paraId="125B9999" w14:textId="77777777" w:rsidTr="001268F1">
        <w:trPr>
          <w:tblHeader/>
          <w:tblCellSpacing w:w="15" w:type="dxa"/>
        </w:trPr>
        <w:tc>
          <w:tcPr>
            <w:tcW w:w="0" w:type="auto"/>
            <w:vAlign w:val="center"/>
            <w:hideMark/>
          </w:tcPr>
          <w:p w14:paraId="29A580FD" w14:textId="77777777" w:rsidR="00291D9E" w:rsidRPr="00291D9E" w:rsidRDefault="00291D9E" w:rsidP="001268F1">
            <w:pPr>
              <w:spacing w:line="240" w:lineRule="auto"/>
              <w:jc w:val="center"/>
              <w:rPr>
                <w:rFonts w:ascii="Arial" w:eastAsia="Times New Roman" w:hAnsi="Arial" w:cs="Arial"/>
                <w:b/>
                <w:bCs/>
                <w:sz w:val="24"/>
                <w:szCs w:val="24"/>
              </w:rPr>
            </w:pPr>
            <w:r w:rsidRPr="00291D9E">
              <w:rPr>
                <w:rFonts w:ascii="Arial" w:eastAsia="Times New Roman" w:hAnsi="Arial" w:cs="Arial"/>
                <w:b/>
                <w:bCs/>
                <w:sz w:val="24"/>
                <w:szCs w:val="24"/>
              </w:rPr>
              <w:t>Categoría</w:t>
            </w:r>
          </w:p>
        </w:tc>
        <w:tc>
          <w:tcPr>
            <w:tcW w:w="0" w:type="auto"/>
            <w:vAlign w:val="center"/>
            <w:hideMark/>
          </w:tcPr>
          <w:p w14:paraId="4D52246E" w14:textId="77777777" w:rsidR="00291D9E" w:rsidRPr="00291D9E" w:rsidRDefault="00291D9E" w:rsidP="001268F1">
            <w:pPr>
              <w:spacing w:line="240" w:lineRule="auto"/>
              <w:jc w:val="center"/>
              <w:rPr>
                <w:rFonts w:ascii="Arial" w:eastAsia="Times New Roman" w:hAnsi="Arial" w:cs="Arial"/>
                <w:b/>
                <w:bCs/>
                <w:sz w:val="24"/>
                <w:szCs w:val="24"/>
              </w:rPr>
            </w:pPr>
            <w:r w:rsidRPr="00291D9E">
              <w:rPr>
                <w:rFonts w:ascii="Arial" w:eastAsia="Times New Roman" w:hAnsi="Arial" w:cs="Arial"/>
                <w:b/>
                <w:bCs/>
                <w:sz w:val="24"/>
                <w:szCs w:val="24"/>
              </w:rPr>
              <w:t>Clasificación Institucional (Minciencias, OCDE, DANE, DNP)</w:t>
            </w:r>
          </w:p>
        </w:tc>
        <w:tc>
          <w:tcPr>
            <w:tcW w:w="0" w:type="auto"/>
            <w:vAlign w:val="center"/>
            <w:hideMark/>
          </w:tcPr>
          <w:p w14:paraId="634C647A" w14:textId="77777777" w:rsidR="00291D9E" w:rsidRPr="00291D9E" w:rsidRDefault="00291D9E" w:rsidP="001268F1">
            <w:pPr>
              <w:spacing w:line="240" w:lineRule="auto"/>
              <w:jc w:val="center"/>
              <w:rPr>
                <w:rFonts w:ascii="Arial" w:eastAsia="Times New Roman" w:hAnsi="Arial" w:cs="Arial"/>
                <w:b/>
                <w:bCs/>
                <w:sz w:val="24"/>
                <w:szCs w:val="24"/>
              </w:rPr>
            </w:pPr>
            <w:r w:rsidRPr="00291D9E">
              <w:rPr>
                <w:rFonts w:ascii="Arial" w:eastAsia="Times New Roman" w:hAnsi="Arial" w:cs="Arial"/>
                <w:b/>
                <w:bCs/>
                <w:sz w:val="24"/>
                <w:szCs w:val="24"/>
              </w:rPr>
              <w:t>Evidencia en los Artículos de Investigación</w:t>
            </w:r>
          </w:p>
        </w:tc>
        <w:tc>
          <w:tcPr>
            <w:tcW w:w="0" w:type="auto"/>
            <w:vAlign w:val="center"/>
            <w:hideMark/>
          </w:tcPr>
          <w:p w14:paraId="04B79855" w14:textId="77777777" w:rsidR="00291D9E" w:rsidRPr="00291D9E" w:rsidRDefault="00291D9E" w:rsidP="001268F1">
            <w:pPr>
              <w:spacing w:line="240" w:lineRule="auto"/>
              <w:jc w:val="center"/>
              <w:rPr>
                <w:rFonts w:ascii="Arial" w:eastAsia="Times New Roman" w:hAnsi="Arial" w:cs="Arial"/>
                <w:b/>
                <w:bCs/>
                <w:sz w:val="24"/>
                <w:szCs w:val="24"/>
              </w:rPr>
            </w:pPr>
            <w:r w:rsidRPr="00291D9E">
              <w:rPr>
                <w:rFonts w:ascii="Arial" w:eastAsia="Times New Roman" w:hAnsi="Arial" w:cs="Arial"/>
                <w:b/>
                <w:bCs/>
                <w:sz w:val="24"/>
                <w:szCs w:val="24"/>
              </w:rPr>
              <w:t>Coincidencias y Observaciones</w:t>
            </w:r>
          </w:p>
        </w:tc>
      </w:tr>
      <w:tr w:rsidR="00291D9E" w:rsidRPr="00291D9E" w14:paraId="7E05088D" w14:textId="77777777" w:rsidTr="001268F1">
        <w:trPr>
          <w:tblCellSpacing w:w="15" w:type="dxa"/>
        </w:trPr>
        <w:tc>
          <w:tcPr>
            <w:tcW w:w="0" w:type="auto"/>
            <w:vAlign w:val="center"/>
            <w:hideMark/>
          </w:tcPr>
          <w:p w14:paraId="5F203635"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b/>
                <w:bCs/>
                <w:sz w:val="24"/>
                <w:szCs w:val="24"/>
              </w:rPr>
              <w:t>Academia y Centros de I+D</w:t>
            </w:r>
          </w:p>
        </w:tc>
        <w:tc>
          <w:tcPr>
            <w:tcW w:w="0" w:type="auto"/>
            <w:vAlign w:val="center"/>
            <w:hideMark/>
          </w:tcPr>
          <w:p w14:paraId="71CC6EDC"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sz w:val="24"/>
                <w:szCs w:val="24"/>
              </w:rPr>
              <w:t>Se identifican universidades, institutos tecnológicos y centros de investigación como pilares.</w:t>
            </w:r>
          </w:p>
        </w:tc>
        <w:tc>
          <w:tcPr>
            <w:tcW w:w="0" w:type="auto"/>
            <w:vAlign w:val="center"/>
            <w:hideMark/>
          </w:tcPr>
          <w:p w14:paraId="4AC5E56F"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sz w:val="24"/>
                <w:szCs w:val="24"/>
              </w:rPr>
              <w:t>Los estudios destacan la centralidad de la universidad y los centros de I+D (modelo cuádruple hélice, análisis de red).</w:t>
            </w:r>
          </w:p>
        </w:tc>
        <w:tc>
          <w:tcPr>
            <w:tcW w:w="0" w:type="auto"/>
            <w:vAlign w:val="center"/>
            <w:hideMark/>
          </w:tcPr>
          <w:p w14:paraId="24FFA260"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sz w:val="24"/>
                <w:szCs w:val="24"/>
              </w:rPr>
              <w:t>Ambas perspectivas reconocen la generación y difusión del conocimiento.</w:t>
            </w:r>
          </w:p>
        </w:tc>
      </w:tr>
      <w:tr w:rsidR="00291D9E" w:rsidRPr="00291D9E" w14:paraId="3BEF4B4F" w14:textId="77777777" w:rsidTr="001268F1">
        <w:trPr>
          <w:tblCellSpacing w:w="15" w:type="dxa"/>
        </w:trPr>
        <w:tc>
          <w:tcPr>
            <w:tcW w:w="0" w:type="auto"/>
            <w:vAlign w:val="center"/>
            <w:hideMark/>
          </w:tcPr>
          <w:p w14:paraId="2225F499"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b/>
                <w:bCs/>
                <w:sz w:val="24"/>
                <w:szCs w:val="24"/>
              </w:rPr>
              <w:t>Gobierno y Agencias Públicas</w:t>
            </w:r>
          </w:p>
        </w:tc>
        <w:tc>
          <w:tcPr>
            <w:tcW w:w="0" w:type="auto"/>
            <w:vAlign w:val="center"/>
            <w:hideMark/>
          </w:tcPr>
          <w:p w14:paraId="2525504D"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sz w:val="24"/>
                <w:szCs w:val="24"/>
              </w:rPr>
              <w:t xml:space="preserve">Se enfatiza el rol del Estado a través de ministerios, entidades de </w:t>
            </w:r>
            <w:r w:rsidRPr="00291D9E">
              <w:rPr>
                <w:rFonts w:ascii="Arial" w:eastAsia="Times New Roman" w:hAnsi="Arial" w:cs="Arial"/>
                <w:sz w:val="24"/>
                <w:szCs w:val="24"/>
              </w:rPr>
              <w:lastRenderedPageBreak/>
              <w:t>financiación y organismos de política pública (ej. Minciencias, DNP).</w:t>
            </w:r>
          </w:p>
        </w:tc>
        <w:tc>
          <w:tcPr>
            <w:tcW w:w="0" w:type="auto"/>
            <w:vAlign w:val="center"/>
            <w:hideMark/>
          </w:tcPr>
          <w:p w14:paraId="23864EB9"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sz w:val="24"/>
                <w:szCs w:val="24"/>
              </w:rPr>
              <w:lastRenderedPageBreak/>
              <w:t xml:space="preserve">Los artículos resaltan la función reguladora y facilitadora del gobierno para articular el </w:t>
            </w:r>
            <w:r w:rsidRPr="00291D9E">
              <w:rPr>
                <w:rFonts w:ascii="Arial" w:eastAsia="Times New Roman" w:hAnsi="Arial" w:cs="Arial"/>
                <w:sz w:val="24"/>
                <w:szCs w:val="24"/>
              </w:rPr>
              <w:lastRenderedPageBreak/>
              <w:t>ecosistema (apoyo en políticas, programas y financiamiento).</w:t>
            </w:r>
          </w:p>
        </w:tc>
        <w:tc>
          <w:tcPr>
            <w:tcW w:w="0" w:type="auto"/>
            <w:vAlign w:val="center"/>
            <w:hideMark/>
          </w:tcPr>
          <w:p w14:paraId="7286E43F"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sz w:val="24"/>
                <w:szCs w:val="24"/>
              </w:rPr>
              <w:lastRenderedPageBreak/>
              <w:t xml:space="preserve">Se evidencia el rol estratégico del sector público en la </w:t>
            </w:r>
            <w:r w:rsidRPr="00291D9E">
              <w:rPr>
                <w:rFonts w:ascii="Arial" w:eastAsia="Times New Roman" w:hAnsi="Arial" w:cs="Arial"/>
                <w:sz w:val="24"/>
                <w:szCs w:val="24"/>
              </w:rPr>
              <w:lastRenderedPageBreak/>
              <w:t>configuración de los sistemas.</w:t>
            </w:r>
          </w:p>
        </w:tc>
      </w:tr>
      <w:tr w:rsidR="00291D9E" w:rsidRPr="00291D9E" w14:paraId="63A72F45" w14:textId="77777777" w:rsidTr="001268F1">
        <w:trPr>
          <w:tblCellSpacing w:w="15" w:type="dxa"/>
        </w:trPr>
        <w:tc>
          <w:tcPr>
            <w:tcW w:w="0" w:type="auto"/>
            <w:vAlign w:val="center"/>
            <w:hideMark/>
          </w:tcPr>
          <w:p w14:paraId="6628EA71"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b/>
                <w:bCs/>
                <w:sz w:val="24"/>
                <w:szCs w:val="24"/>
              </w:rPr>
              <w:lastRenderedPageBreak/>
              <w:t>Sector Privado / Empresas</w:t>
            </w:r>
          </w:p>
        </w:tc>
        <w:tc>
          <w:tcPr>
            <w:tcW w:w="0" w:type="auto"/>
            <w:vAlign w:val="center"/>
            <w:hideMark/>
          </w:tcPr>
          <w:p w14:paraId="4AB6DB99"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sz w:val="24"/>
                <w:szCs w:val="24"/>
              </w:rPr>
              <w:t>Se considera el sector empresarial como motor de innovación y aplicación práctica de la tecnología.</w:t>
            </w:r>
          </w:p>
        </w:tc>
        <w:tc>
          <w:tcPr>
            <w:tcW w:w="0" w:type="auto"/>
            <w:vAlign w:val="center"/>
            <w:hideMark/>
          </w:tcPr>
          <w:p w14:paraId="641361A9"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sz w:val="24"/>
                <w:szCs w:val="24"/>
              </w:rPr>
              <w:t>Los casos de estudio muestran cómo las empresas (grandes, pymes) son actores clave en la transferencia de tecnología y la generación de valor.</w:t>
            </w:r>
          </w:p>
        </w:tc>
        <w:tc>
          <w:tcPr>
            <w:tcW w:w="0" w:type="auto"/>
            <w:vAlign w:val="center"/>
            <w:hideMark/>
          </w:tcPr>
          <w:p w14:paraId="56966B82"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sz w:val="24"/>
                <w:szCs w:val="24"/>
              </w:rPr>
              <w:t>Existe consenso en la importancia de la inversión privada y la competitividad.</w:t>
            </w:r>
          </w:p>
        </w:tc>
      </w:tr>
      <w:tr w:rsidR="00291D9E" w:rsidRPr="00291D9E" w14:paraId="0460EABC" w14:textId="77777777" w:rsidTr="001268F1">
        <w:trPr>
          <w:tblCellSpacing w:w="15" w:type="dxa"/>
        </w:trPr>
        <w:tc>
          <w:tcPr>
            <w:tcW w:w="0" w:type="auto"/>
            <w:vAlign w:val="center"/>
            <w:hideMark/>
          </w:tcPr>
          <w:p w14:paraId="1FCD4A20"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b/>
                <w:bCs/>
                <w:sz w:val="24"/>
                <w:szCs w:val="24"/>
              </w:rPr>
              <w:t>Organizaciones de Soporte y Sociedad Civil</w:t>
            </w:r>
          </w:p>
        </w:tc>
        <w:tc>
          <w:tcPr>
            <w:tcW w:w="0" w:type="auto"/>
            <w:vAlign w:val="center"/>
            <w:hideMark/>
          </w:tcPr>
          <w:p w14:paraId="21A18239"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sz w:val="24"/>
                <w:szCs w:val="24"/>
              </w:rPr>
              <w:t>Aunque en algunas clasificaciones esta categoría es menos explícita, se reconoce la existencia de intermediarios y entidades de apoyo.</w:t>
            </w:r>
          </w:p>
        </w:tc>
        <w:tc>
          <w:tcPr>
            <w:tcW w:w="0" w:type="auto"/>
            <w:vAlign w:val="center"/>
            <w:hideMark/>
          </w:tcPr>
          <w:p w14:paraId="4C0D7AF4" w14:textId="77777777" w:rsidR="00291D9E" w:rsidRPr="00291D9E" w:rsidRDefault="00291D9E" w:rsidP="001268F1">
            <w:pPr>
              <w:spacing w:line="240" w:lineRule="auto"/>
              <w:rPr>
                <w:rFonts w:ascii="Arial" w:eastAsia="Times New Roman" w:hAnsi="Arial" w:cs="Arial"/>
                <w:sz w:val="24"/>
                <w:szCs w:val="24"/>
              </w:rPr>
            </w:pPr>
            <w:r w:rsidRPr="00291D9E">
              <w:rPr>
                <w:rFonts w:ascii="Arial" w:eastAsia="Times New Roman" w:hAnsi="Arial" w:cs="Arial"/>
                <w:sz w:val="24"/>
                <w:szCs w:val="24"/>
              </w:rPr>
              <w:t>Estudios basados en el modelo cuádruple hélice y en análisis de redes incluyen organizaciones de soporte, parques tecnológicos, y actores sociales que conectan a los demás sectores.</w:t>
            </w:r>
          </w:p>
        </w:tc>
        <w:tc>
          <w:tcPr>
            <w:tcW w:w="0" w:type="auto"/>
            <w:vAlign w:val="center"/>
            <w:hideMark/>
          </w:tcPr>
          <w:p w14:paraId="3C32CFF6" w14:textId="77777777" w:rsidR="00291D9E" w:rsidRPr="00291D9E" w:rsidRDefault="00291D9E" w:rsidP="001268F1">
            <w:pPr>
              <w:keepNext/>
              <w:spacing w:line="240" w:lineRule="auto"/>
              <w:rPr>
                <w:rFonts w:ascii="Arial" w:eastAsia="Times New Roman" w:hAnsi="Arial" w:cs="Arial"/>
                <w:sz w:val="24"/>
                <w:szCs w:val="24"/>
              </w:rPr>
            </w:pPr>
            <w:r w:rsidRPr="00291D9E">
              <w:rPr>
                <w:rFonts w:ascii="Arial" w:eastAsia="Times New Roman" w:hAnsi="Arial" w:cs="Arial"/>
                <w:sz w:val="24"/>
                <w:szCs w:val="24"/>
              </w:rPr>
              <w:t>Se destaca la función de estos actores como puente para la interacción y colaboración.</w:t>
            </w:r>
          </w:p>
        </w:tc>
      </w:tr>
    </w:tbl>
    <w:p w14:paraId="1519E406" w14:textId="77777777" w:rsidR="00291D9E" w:rsidRPr="00291D9E" w:rsidRDefault="00291D9E" w:rsidP="00291D9E">
      <w:pPr>
        <w:pStyle w:val="Descripcin"/>
        <w:spacing w:line="480" w:lineRule="exact"/>
        <w:rPr>
          <w:rFonts w:ascii="Arial" w:hAnsi="Arial" w:cs="Arial"/>
          <w:szCs w:val="24"/>
        </w:rPr>
      </w:pPr>
      <w:bookmarkStart w:id="19" w:name="_Toc194544084"/>
      <w:r w:rsidRPr="00291D9E">
        <w:rPr>
          <w:rFonts w:ascii="Arial" w:eastAsia="Times New Roman" w:hAnsi="Arial" w:cs="Arial"/>
          <w:szCs w:val="24"/>
        </w:rPr>
        <w:t xml:space="preserve">Tabla </w:t>
      </w:r>
      <w:r w:rsidRPr="00291D9E">
        <w:rPr>
          <w:rFonts w:ascii="Arial" w:eastAsia="Times New Roman" w:hAnsi="Arial" w:cs="Arial"/>
          <w:szCs w:val="24"/>
        </w:rPr>
        <w:fldChar w:fldCharType="begin"/>
      </w:r>
      <w:r w:rsidRPr="00291D9E">
        <w:rPr>
          <w:rFonts w:ascii="Arial" w:eastAsia="Times New Roman" w:hAnsi="Arial" w:cs="Arial"/>
          <w:szCs w:val="24"/>
        </w:rPr>
        <w:instrText xml:space="preserve"> SEQ Tabla \* ARABIC </w:instrText>
      </w:r>
      <w:r w:rsidRPr="00291D9E">
        <w:rPr>
          <w:rFonts w:ascii="Arial" w:eastAsia="Times New Roman" w:hAnsi="Arial" w:cs="Arial"/>
          <w:szCs w:val="24"/>
        </w:rPr>
        <w:fldChar w:fldCharType="separate"/>
      </w:r>
      <w:r w:rsidRPr="00291D9E">
        <w:rPr>
          <w:rFonts w:ascii="Arial" w:eastAsia="Times New Roman" w:hAnsi="Arial" w:cs="Arial"/>
          <w:noProof/>
          <w:szCs w:val="24"/>
        </w:rPr>
        <w:t>10</w:t>
      </w:r>
      <w:r w:rsidRPr="00291D9E">
        <w:rPr>
          <w:rFonts w:ascii="Arial" w:eastAsia="Times New Roman" w:hAnsi="Arial" w:cs="Arial"/>
          <w:noProof/>
          <w:szCs w:val="24"/>
        </w:rPr>
        <w:fldChar w:fldCharType="end"/>
      </w:r>
      <w:r w:rsidRPr="00291D9E">
        <w:rPr>
          <w:rFonts w:ascii="Arial" w:eastAsia="Times New Roman" w:hAnsi="Arial" w:cs="Arial"/>
          <w:szCs w:val="24"/>
        </w:rPr>
        <w:t>. Triangulación de la Informacion</w:t>
      </w:r>
      <w:bookmarkEnd w:id="19"/>
    </w:p>
    <w:p w14:paraId="1D4D76B9" w14:textId="77777777" w:rsidR="00291D9E" w:rsidRPr="00291D9E" w:rsidRDefault="00291D9E" w:rsidP="00291D9E">
      <w:pPr>
        <w:spacing w:line="480" w:lineRule="exact"/>
        <w:rPr>
          <w:rFonts w:ascii="Arial" w:hAnsi="Arial" w:cs="Arial"/>
          <w:sz w:val="24"/>
          <w:szCs w:val="24"/>
        </w:rPr>
      </w:pPr>
      <w:r w:rsidRPr="00291D9E">
        <w:rPr>
          <w:rFonts w:ascii="Arial" w:eastAsia="Times New Roman" w:hAnsi="Arial" w:cs="Arial"/>
          <w:b/>
          <w:bCs/>
          <w:sz w:val="24"/>
          <w:szCs w:val="24"/>
        </w:rPr>
        <w:t>Gobierno:</w:t>
      </w:r>
      <w:r w:rsidRPr="00291D9E">
        <w:rPr>
          <w:rFonts w:ascii="Arial" w:eastAsia="Times New Roman" w:hAnsi="Arial" w:cs="Arial"/>
          <w:sz w:val="24"/>
          <w:szCs w:val="24"/>
        </w:rPr>
        <w:t xml:space="preserve"> En Colombia este grupo está conformado por los Ministerios, Consejo Nacional de Política de Ciencia, Tecnología e Innovación (CONACTI), Consejo Científico Nacional (CCN), Consejo Nacional de Bioética (CNB), Consejo Nacional de Beneficios Tributarios en Ciencia, Tecnología e Innovación (CNBT), el Sistema Nacional de Competitividad e Innovacion, el Departamento de planeación DNP, Las Corporación Autónomas Regionales, Las Superintendencias, los gobiernos departamentos, alcaldías municipales y las redes de informacion y comunicación de los sectores económicos. </w:t>
      </w:r>
    </w:p>
    <w:p w14:paraId="3FD0680E" w14:textId="77777777" w:rsidR="00291D9E" w:rsidRPr="00291D9E" w:rsidRDefault="00291D9E" w:rsidP="00291D9E">
      <w:pPr>
        <w:spacing w:line="480" w:lineRule="exact"/>
        <w:rPr>
          <w:rFonts w:ascii="Arial" w:hAnsi="Arial" w:cs="Arial"/>
          <w:sz w:val="24"/>
          <w:szCs w:val="24"/>
        </w:rPr>
      </w:pPr>
      <w:r w:rsidRPr="00291D9E">
        <w:rPr>
          <w:rFonts w:ascii="Arial" w:eastAsia="Times New Roman" w:hAnsi="Arial" w:cs="Arial"/>
          <w:b/>
          <w:bCs/>
          <w:sz w:val="24"/>
          <w:szCs w:val="24"/>
        </w:rPr>
        <w:t>Academia:</w:t>
      </w:r>
      <w:r w:rsidRPr="00291D9E">
        <w:rPr>
          <w:rFonts w:ascii="Arial" w:eastAsia="Times New Roman" w:hAnsi="Arial" w:cs="Arial"/>
          <w:sz w:val="24"/>
          <w:szCs w:val="24"/>
        </w:rPr>
        <w:t xml:space="preserve"> En Colombia este grupo está conformado por 364 universidades (216 privadas y 84 publicas), Centros de investigación de diferentes áreas del conocimiento, </w:t>
      </w:r>
      <w:r w:rsidRPr="00291D9E">
        <w:rPr>
          <w:rFonts w:ascii="Arial" w:eastAsia="Times New Roman" w:hAnsi="Arial" w:cs="Arial"/>
          <w:sz w:val="24"/>
          <w:szCs w:val="24"/>
        </w:rPr>
        <w:lastRenderedPageBreak/>
        <w:t>Oficinas de Transferencia de Resultados de Investigación (5 independientes y otras creadas por las universidades).</w:t>
      </w:r>
    </w:p>
    <w:p w14:paraId="3934BA8D" w14:textId="77777777" w:rsidR="00291D9E" w:rsidRPr="00291D9E" w:rsidRDefault="00291D9E" w:rsidP="00291D9E">
      <w:pPr>
        <w:spacing w:line="480" w:lineRule="exact"/>
        <w:rPr>
          <w:rFonts w:ascii="Arial" w:hAnsi="Arial" w:cs="Arial"/>
          <w:sz w:val="24"/>
          <w:szCs w:val="24"/>
        </w:rPr>
      </w:pPr>
      <w:r w:rsidRPr="00291D9E">
        <w:rPr>
          <w:rFonts w:ascii="Arial" w:eastAsia="Times New Roman" w:hAnsi="Arial" w:cs="Arial"/>
          <w:b/>
          <w:bCs/>
          <w:sz w:val="24"/>
          <w:szCs w:val="24"/>
        </w:rPr>
        <w:t>Organizaciones de Soporte de la Innovacion:</w:t>
      </w:r>
      <w:r w:rsidRPr="00291D9E">
        <w:rPr>
          <w:rFonts w:ascii="Arial" w:eastAsia="Times New Roman" w:hAnsi="Arial" w:cs="Arial"/>
          <w:sz w:val="24"/>
          <w:szCs w:val="24"/>
        </w:rPr>
        <w:t xml:space="preserve"> En Colombia se encuentran los centros de innovacion y productividad, centros de desarrollo tecnológico, parques tecnológicos, también entidades como </w:t>
      </w:r>
      <w:proofErr w:type="spellStart"/>
      <w:r w:rsidRPr="00291D9E">
        <w:rPr>
          <w:rFonts w:ascii="Arial" w:eastAsia="Times New Roman" w:hAnsi="Arial" w:cs="Arial"/>
          <w:sz w:val="24"/>
          <w:szCs w:val="24"/>
        </w:rPr>
        <w:t>iNNpulsa</w:t>
      </w:r>
      <w:proofErr w:type="spellEnd"/>
      <w:r w:rsidRPr="00291D9E">
        <w:rPr>
          <w:rFonts w:ascii="Arial" w:eastAsia="Times New Roman" w:hAnsi="Arial" w:cs="Arial"/>
          <w:sz w:val="24"/>
          <w:szCs w:val="24"/>
        </w:rPr>
        <w:t xml:space="preserve"> Colombia, SENA (programa SENNAVO), Asociación Nacional de Empresarios de Colombia (ANDI), cámaras de comercio regionales, Iniciativas </w:t>
      </w:r>
      <w:proofErr w:type="spellStart"/>
      <w:r w:rsidRPr="00291D9E">
        <w:rPr>
          <w:rFonts w:ascii="Arial" w:eastAsia="Times New Roman" w:hAnsi="Arial" w:cs="Arial"/>
          <w:sz w:val="24"/>
          <w:szCs w:val="24"/>
        </w:rPr>
        <w:t>cluster</w:t>
      </w:r>
      <w:proofErr w:type="spellEnd"/>
      <w:r w:rsidRPr="00291D9E">
        <w:rPr>
          <w:rFonts w:ascii="Arial" w:eastAsia="Times New Roman" w:hAnsi="Arial" w:cs="Arial"/>
          <w:sz w:val="24"/>
          <w:szCs w:val="24"/>
        </w:rPr>
        <w:t xml:space="preserve">, agencia de desarrollo económico local, asociaciones empresariales regionales, programas de cooperación internacional e incubadoras de empresas. </w:t>
      </w:r>
    </w:p>
    <w:p w14:paraId="36E5886B" w14:textId="77777777" w:rsidR="00291D9E" w:rsidRPr="00291D9E" w:rsidRDefault="00291D9E" w:rsidP="00291D9E">
      <w:pPr>
        <w:spacing w:beforeAutospacing="1" w:afterAutospacing="1" w:line="480" w:lineRule="exact"/>
        <w:rPr>
          <w:rFonts w:ascii="Arial" w:hAnsi="Arial" w:cs="Arial"/>
          <w:sz w:val="24"/>
          <w:szCs w:val="24"/>
        </w:rPr>
      </w:pPr>
      <w:r w:rsidRPr="00291D9E">
        <w:rPr>
          <w:rFonts w:ascii="Arial" w:eastAsia="Times New Roman" w:hAnsi="Arial" w:cs="Arial"/>
          <w:b/>
          <w:bCs/>
          <w:sz w:val="24"/>
          <w:szCs w:val="24"/>
        </w:rPr>
        <w:t xml:space="preserve">Empresas: </w:t>
      </w:r>
      <w:r w:rsidRPr="00291D9E">
        <w:rPr>
          <w:rFonts w:ascii="Arial" w:eastAsia="Times New Roman" w:hAnsi="Arial" w:cs="Arial"/>
          <w:sz w:val="24"/>
          <w:szCs w:val="24"/>
        </w:rPr>
        <w:t xml:space="preserve">En Colombia la clasificación que manejan las empresas según la cantidad de empleados que tiene y sus ingresos en 4 al cierre de 2023 registraron 1.740.168 empresas activas de las cuales 1.593.103 son microempresas, 106.120 Pequeñas empresas, 27.238 </w:t>
      </w:r>
      <w:proofErr w:type="spellStart"/>
      <w:r w:rsidRPr="00291D9E">
        <w:rPr>
          <w:rFonts w:ascii="Arial" w:eastAsia="Times New Roman" w:hAnsi="Arial" w:cs="Arial"/>
          <w:sz w:val="24"/>
          <w:szCs w:val="24"/>
        </w:rPr>
        <w:t>Medionas</w:t>
      </w:r>
      <w:proofErr w:type="spellEnd"/>
      <w:r w:rsidRPr="00291D9E">
        <w:rPr>
          <w:rFonts w:ascii="Arial" w:eastAsia="Times New Roman" w:hAnsi="Arial" w:cs="Arial"/>
          <w:sz w:val="24"/>
          <w:szCs w:val="24"/>
        </w:rPr>
        <w:t xml:space="preserve"> empresas y  8.175 Grandes empresas </w:t>
      </w:r>
      <w:sdt>
        <w:sdtPr>
          <w:rPr>
            <w:rFonts w:ascii="Arial" w:hAnsi="Arial" w:cs="Arial"/>
            <w:sz w:val="24"/>
            <w:szCs w:val="24"/>
          </w:rPr>
          <w:id w:val="-727613853"/>
          <w:citation/>
        </w:sdtPr>
        <w:sdtContent>
          <w:r w:rsidRPr="00291D9E">
            <w:rPr>
              <w:rFonts w:ascii="Arial" w:hAnsi="Arial" w:cs="Arial"/>
              <w:sz w:val="24"/>
              <w:szCs w:val="24"/>
            </w:rPr>
            <w:fldChar w:fldCharType="begin"/>
          </w:r>
          <w:r w:rsidRPr="00291D9E">
            <w:rPr>
              <w:rFonts w:ascii="Arial" w:hAnsi="Arial" w:cs="Arial"/>
              <w:sz w:val="24"/>
              <w:szCs w:val="24"/>
            </w:rPr>
            <w:instrText xml:space="preserve"> CITATION Min24 \l 9226 </w:instrText>
          </w:r>
          <w:r w:rsidRPr="00291D9E">
            <w:rPr>
              <w:rFonts w:ascii="Arial" w:hAnsi="Arial" w:cs="Arial"/>
              <w:sz w:val="24"/>
              <w:szCs w:val="24"/>
            </w:rPr>
            <w:fldChar w:fldCharType="separate"/>
          </w:r>
          <w:r w:rsidRPr="00291D9E">
            <w:rPr>
              <w:rFonts w:ascii="Arial" w:hAnsi="Arial" w:cs="Arial"/>
              <w:noProof/>
              <w:sz w:val="24"/>
              <w:szCs w:val="24"/>
            </w:rPr>
            <w:t>(Ministerio de Comercio, Industria y Turismo , 2024)</w:t>
          </w:r>
          <w:r w:rsidRPr="00291D9E">
            <w:rPr>
              <w:rFonts w:ascii="Arial" w:hAnsi="Arial" w:cs="Arial"/>
              <w:sz w:val="24"/>
              <w:szCs w:val="24"/>
            </w:rPr>
            <w:fldChar w:fldCharType="end"/>
          </w:r>
        </w:sdtContent>
      </w:sdt>
      <w:r w:rsidRPr="00291D9E">
        <w:rPr>
          <w:rFonts w:ascii="Arial" w:eastAsia="Times New Roman" w:hAnsi="Arial" w:cs="Arial"/>
          <w:sz w:val="24"/>
          <w:szCs w:val="24"/>
        </w:rPr>
        <w:t>, ahora bien  según el enfoque en innovacion y desarrollo que estas tengan se clasifican en  Startups: Empresas de base tecnológica con alto potencial de crecimiento, Empresas de Base Tecnológica (EBT): Basadas en innovación científica o tecnológica Empresas Sociales: Generan impacto social con enfoque sostenible y Empresas Verdes y Sostenibles: Negocios con enfoque ambiental.</w:t>
      </w:r>
    </w:p>
    <w:p w14:paraId="1EAF3881" w14:textId="77777777" w:rsidR="00291D9E" w:rsidRPr="00291D9E" w:rsidRDefault="00291D9E" w:rsidP="00291D9E">
      <w:pPr>
        <w:spacing w:beforeAutospacing="1" w:afterAutospacing="1" w:line="480" w:lineRule="exact"/>
        <w:rPr>
          <w:rFonts w:ascii="Arial" w:hAnsi="Arial" w:cs="Arial"/>
          <w:sz w:val="24"/>
          <w:szCs w:val="24"/>
        </w:rPr>
      </w:pPr>
      <w:r w:rsidRPr="00291D9E">
        <w:rPr>
          <w:rFonts w:ascii="Arial" w:eastAsia="Times New Roman" w:hAnsi="Arial" w:cs="Arial"/>
          <w:sz w:val="24"/>
          <w:szCs w:val="24"/>
        </w:rPr>
        <w:t xml:space="preserve">En la triangulación también se encuentra una sub categoría que según las entidades está dentro de la categoría gobierno y entidades estatales, pero según los actores al encontrarse empresas privadas entra dentro de organizaciones de soporte entonces, pero debido a su importancia se establece la categoría de actor financiero para agrupar a los actores que realizan esta función. </w:t>
      </w:r>
    </w:p>
    <w:p w14:paraId="1EE3084F" w14:textId="77777777" w:rsidR="00291D9E" w:rsidRPr="00291D9E" w:rsidRDefault="00291D9E" w:rsidP="00291D9E">
      <w:pPr>
        <w:spacing w:beforeAutospacing="1" w:afterAutospacing="1" w:line="480" w:lineRule="exact"/>
        <w:rPr>
          <w:rFonts w:ascii="Arial" w:eastAsia="Times New Roman" w:hAnsi="Arial" w:cs="Arial"/>
          <w:sz w:val="24"/>
          <w:szCs w:val="24"/>
        </w:rPr>
      </w:pPr>
      <w:r w:rsidRPr="00291D9E">
        <w:rPr>
          <w:rFonts w:ascii="Arial" w:eastAsia="Times New Roman" w:hAnsi="Arial" w:cs="Arial"/>
          <w:b/>
          <w:bCs/>
          <w:sz w:val="24"/>
          <w:szCs w:val="24"/>
        </w:rPr>
        <w:t xml:space="preserve">Financiero: </w:t>
      </w:r>
      <w:r w:rsidRPr="00291D9E">
        <w:rPr>
          <w:rFonts w:ascii="Arial" w:eastAsia="Times New Roman" w:hAnsi="Arial" w:cs="Arial"/>
          <w:sz w:val="24"/>
          <w:szCs w:val="24"/>
        </w:rPr>
        <w:t xml:space="preserve">Actores encargados de proveer el capital para el desarrollo de los proyectos de innovación. En Colombia estos recursos son suministrados desde el gobierno </w:t>
      </w:r>
      <w:proofErr w:type="spellStart"/>
      <w:r w:rsidRPr="00291D9E">
        <w:rPr>
          <w:rFonts w:ascii="Arial" w:eastAsia="Times New Roman" w:hAnsi="Arial" w:cs="Arial"/>
          <w:sz w:val="24"/>
          <w:szCs w:val="24"/>
        </w:rPr>
        <w:t>Mediote</w:t>
      </w:r>
      <w:proofErr w:type="spellEnd"/>
      <w:r w:rsidRPr="00291D9E">
        <w:rPr>
          <w:rFonts w:ascii="Arial" w:eastAsia="Times New Roman" w:hAnsi="Arial" w:cs="Arial"/>
          <w:sz w:val="24"/>
          <w:szCs w:val="24"/>
        </w:rPr>
        <w:t xml:space="preserve"> convocatorias desde los Ministerios, el Fondo de Ciencia, Tecnología </w:t>
      </w:r>
      <w:r w:rsidRPr="00291D9E">
        <w:rPr>
          <w:rFonts w:ascii="Arial" w:eastAsia="Times New Roman" w:hAnsi="Arial" w:cs="Arial"/>
          <w:sz w:val="24"/>
          <w:szCs w:val="24"/>
        </w:rPr>
        <w:lastRenderedPageBreak/>
        <w:t>e Innovación (</w:t>
      </w:r>
      <w:proofErr w:type="spellStart"/>
      <w:r w:rsidRPr="00291D9E">
        <w:rPr>
          <w:rFonts w:ascii="Arial" w:eastAsia="Times New Roman" w:hAnsi="Arial" w:cs="Arial"/>
          <w:sz w:val="24"/>
          <w:szCs w:val="24"/>
        </w:rPr>
        <w:t>FCTeI</w:t>
      </w:r>
      <w:proofErr w:type="spellEnd"/>
      <w:r w:rsidRPr="00291D9E">
        <w:rPr>
          <w:rFonts w:ascii="Arial" w:eastAsia="Times New Roman" w:hAnsi="Arial" w:cs="Arial"/>
          <w:sz w:val="24"/>
          <w:szCs w:val="24"/>
        </w:rPr>
        <w:t xml:space="preserve">) del Sistema General de Regalías (SGR) y por medio del Sena y de </w:t>
      </w:r>
      <w:proofErr w:type="spellStart"/>
      <w:r w:rsidRPr="00291D9E">
        <w:rPr>
          <w:rFonts w:ascii="Arial" w:eastAsia="Times New Roman" w:hAnsi="Arial" w:cs="Arial"/>
          <w:sz w:val="24"/>
          <w:szCs w:val="24"/>
        </w:rPr>
        <w:t>iNNpulsa</w:t>
      </w:r>
      <w:proofErr w:type="spellEnd"/>
      <w:r w:rsidRPr="00291D9E">
        <w:rPr>
          <w:rFonts w:ascii="Arial" w:eastAsia="Times New Roman" w:hAnsi="Arial" w:cs="Arial"/>
          <w:sz w:val="24"/>
          <w:szCs w:val="24"/>
        </w:rPr>
        <w:t xml:space="preserve">; existen también entidades privadas que invierte en los proyectos de innovacion en los que se encuentran los </w:t>
      </w:r>
      <w:r w:rsidRPr="00291D9E">
        <w:rPr>
          <w:rFonts w:ascii="Arial" w:eastAsia="Times New Roman" w:hAnsi="Arial" w:cs="Arial"/>
          <w:b/>
          <w:bCs/>
          <w:sz w:val="24"/>
          <w:szCs w:val="24"/>
        </w:rPr>
        <w:t xml:space="preserve"> </w:t>
      </w:r>
      <w:r w:rsidRPr="00291D9E">
        <w:rPr>
          <w:rFonts w:ascii="Arial" w:eastAsia="Times New Roman" w:hAnsi="Arial" w:cs="Arial"/>
          <w:sz w:val="24"/>
          <w:szCs w:val="24"/>
        </w:rPr>
        <w:t xml:space="preserve">Fondos de Capital Privado como: FCP Innovación SP, PROMOTORA, </w:t>
      </w:r>
      <w:proofErr w:type="spellStart"/>
      <w:r w:rsidRPr="00291D9E">
        <w:rPr>
          <w:rFonts w:ascii="Arial" w:eastAsia="Times New Roman" w:hAnsi="Arial" w:cs="Arial"/>
          <w:sz w:val="24"/>
          <w:szCs w:val="24"/>
        </w:rPr>
        <w:t>Velum</w:t>
      </w:r>
      <w:proofErr w:type="spellEnd"/>
      <w:r w:rsidRPr="00291D9E">
        <w:rPr>
          <w:rFonts w:ascii="Arial" w:eastAsia="Times New Roman" w:hAnsi="Arial" w:cs="Arial"/>
          <w:sz w:val="24"/>
          <w:szCs w:val="24"/>
        </w:rPr>
        <w:t xml:space="preserve"> Ventures, </w:t>
      </w:r>
      <w:proofErr w:type="spellStart"/>
      <w:r w:rsidRPr="00291D9E">
        <w:rPr>
          <w:rFonts w:ascii="Arial" w:eastAsia="Times New Roman" w:hAnsi="Arial" w:cs="Arial"/>
          <w:sz w:val="24"/>
          <w:szCs w:val="24"/>
        </w:rPr>
        <w:t>Firstrock</w:t>
      </w:r>
      <w:proofErr w:type="spellEnd"/>
      <w:r w:rsidRPr="00291D9E">
        <w:rPr>
          <w:rFonts w:ascii="Arial" w:eastAsia="Times New Roman" w:hAnsi="Arial" w:cs="Arial"/>
          <w:sz w:val="24"/>
          <w:szCs w:val="24"/>
        </w:rPr>
        <w:t xml:space="preserve"> Capital y Nazca Ventures, como parte de esta categoría también se encuentran  las incubadoras y Aceleradoras de Negocio; los Ángeles Inversores, Fundaciones Privadas como Fundación WWB Colombia y entidades como  Bancóldex y las  Cámara de Comercio de Bogotá ofrecen programas y líneas de crédito especiales para financiar proyectos de innovación y emprendimiento en diversas regiones del país. Teniendo en cuenta las entidades que conforman cada categoría se realiza una búsqueda de las entidades que existen en cada uno del departamento de Colombia y se crea la base de datos que se encuentra en el Anexo 1. </w:t>
      </w:r>
    </w:p>
    <w:p w14:paraId="06C283C9" w14:textId="5342CB9E" w:rsidR="00291D9E" w:rsidRPr="00291D9E" w:rsidRDefault="00291D9E" w:rsidP="00291D9E">
      <w:pPr>
        <w:spacing w:beforeAutospacing="1" w:afterAutospacing="1" w:line="480" w:lineRule="exact"/>
        <w:rPr>
          <w:rFonts w:ascii="Arial" w:hAnsi="Arial" w:cs="Arial"/>
          <w:sz w:val="24"/>
          <w:szCs w:val="24"/>
        </w:rPr>
      </w:pPr>
      <w:r w:rsidRPr="00291D9E">
        <w:rPr>
          <w:rFonts w:ascii="Arial" w:hAnsi="Arial" w:cs="Arial"/>
          <w:sz w:val="24"/>
          <w:szCs w:val="24"/>
        </w:rPr>
        <w:t xml:space="preserve">Con esa base datos, se elabora al mapa de redes sociales relacionándolas por departamento y el rol que ejecutan en los sistemas, el cual se evidencia en la siguiente imagen. </w:t>
      </w:r>
    </w:p>
    <w:p w14:paraId="6F467BA0" w14:textId="448A566C" w:rsidR="00291D9E" w:rsidRPr="00291D9E" w:rsidRDefault="00291D9E" w:rsidP="00291D9E">
      <w:pPr>
        <w:spacing w:beforeAutospacing="1" w:afterAutospacing="1" w:line="480" w:lineRule="exact"/>
        <w:rPr>
          <w:rFonts w:ascii="Arial" w:hAnsi="Arial" w:cs="Arial"/>
          <w:sz w:val="24"/>
          <w:szCs w:val="24"/>
        </w:rPr>
      </w:pPr>
      <w:r w:rsidRPr="00291D9E">
        <w:rPr>
          <w:rFonts w:ascii="Arial" w:hAnsi="Arial" w:cs="Arial"/>
          <w:noProof/>
          <w:sz w:val="24"/>
          <w:szCs w:val="24"/>
        </w:rPr>
        <w:drawing>
          <wp:anchor distT="0" distB="0" distL="114300" distR="114300" simplePos="0" relativeHeight="251663360" behindDoc="0" locked="0" layoutInCell="1" allowOverlap="1" wp14:anchorId="69488CD3" wp14:editId="0A2247E7">
            <wp:simplePos x="0" y="0"/>
            <wp:positionH relativeFrom="page">
              <wp:align>center</wp:align>
            </wp:positionH>
            <wp:positionV relativeFrom="paragraph">
              <wp:posOffset>7371</wp:posOffset>
            </wp:positionV>
            <wp:extent cx="3001618" cy="3001618"/>
            <wp:effectExtent l="0" t="0" r="8890" b="8890"/>
            <wp:wrapSquare wrapText="bothSides"/>
            <wp:docPr id="1607775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1618" cy="3001618"/>
                    </a:xfrm>
                    <a:prstGeom prst="rect">
                      <a:avLst/>
                    </a:prstGeom>
                    <a:noFill/>
                    <a:ln>
                      <a:noFill/>
                    </a:ln>
                  </pic:spPr>
                </pic:pic>
              </a:graphicData>
            </a:graphic>
          </wp:anchor>
        </w:drawing>
      </w:r>
    </w:p>
    <w:p w14:paraId="7E019F82" w14:textId="42918725" w:rsidR="00291D9E" w:rsidRPr="00291D9E" w:rsidRDefault="00291D9E" w:rsidP="00291D9E">
      <w:pPr>
        <w:pStyle w:val="NormalWeb"/>
        <w:keepNext/>
        <w:rPr>
          <w:rFonts w:ascii="Arial" w:hAnsi="Arial" w:cs="Arial"/>
        </w:rPr>
      </w:pPr>
    </w:p>
    <w:p w14:paraId="1ECA2C7B" w14:textId="77777777" w:rsidR="00291D9E" w:rsidRPr="00291D9E" w:rsidRDefault="00291D9E" w:rsidP="00291D9E">
      <w:pPr>
        <w:pStyle w:val="NormalWeb"/>
        <w:keepNext/>
        <w:rPr>
          <w:rFonts w:ascii="Arial" w:hAnsi="Arial" w:cs="Arial"/>
        </w:rPr>
      </w:pPr>
    </w:p>
    <w:p w14:paraId="5C179DC7" w14:textId="77777777" w:rsidR="00291D9E" w:rsidRPr="00291D9E" w:rsidRDefault="00291D9E" w:rsidP="00291D9E">
      <w:pPr>
        <w:pStyle w:val="NormalWeb"/>
        <w:keepNext/>
        <w:rPr>
          <w:rFonts w:ascii="Arial" w:hAnsi="Arial" w:cs="Arial"/>
        </w:rPr>
      </w:pPr>
    </w:p>
    <w:p w14:paraId="32EC043A" w14:textId="77777777" w:rsidR="00291D9E" w:rsidRPr="00291D9E" w:rsidRDefault="00291D9E" w:rsidP="00291D9E">
      <w:pPr>
        <w:pStyle w:val="NormalWeb"/>
        <w:keepNext/>
        <w:rPr>
          <w:rFonts w:ascii="Arial" w:hAnsi="Arial" w:cs="Arial"/>
        </w:rPr>
      </w:pPr>
    </w:p>
    <w:p w14:paraId="59635218" w14:textId="77777777" w:rsidR="00291D9E" w:rsidRPr="00291D9E" w:rsidRDefault="00291D9E" w:rsidP="00291D9E">
      <w:pPr>
        <w:pStyle w:val="NormalWeb"/>
        <w:keepNext/>
        <w:rPr>
          <w:rFonts w:ascii="Arial" w:hAnsi="Arial" w:cs="Arial"/>
        </w:rPr>
      </w:pPr>
    </w:p>
    <w:p w14:paraId="1217056B" w14:textId="77777777" w:rsidR="00291D9E" w:rsidRPr="00291D9E" w:rsidRDefault="00291D9E" w:rsidP="00291D9E">
      <w:pPr>
        <w:pStyle w:val="NormalWeb"/>
        <w:keepNext/>
        <w:rPr>
          <w:rFonts w:ascii="Arial" w:hAnsi="Arial" w:cs="Arial"/>
        </w:rPr>
      </w:pPr>
    </w:p>
    <w:p w14:paraId="462DEA23" w14:textId="77777777" w:rsidR="00291D9E" w:rsidRPr="00291D9E" w:rsidRDefault="00291D9E" w:rsidP="00291D9E">
      <w:pPr>
        <w:pStyle w:val="NormalWeb"/>
        <w:keepNext/>
        <w:rPr>
          <w:rFonts w:ascii="Arial" w:hAnsi="Arial" w:cs="Arial"/>
        </w:rPr>
      </w:pPr>
    </w:p>
    <w:p w14:paraId="383E524C" w14:textId="77777777" w:rsidR="00291D9E" w:rsidRPr="00291D9E" w:rsidRDefault="00291D9E" w:rsidP="00291D9E">
      <w:pPr>
        <w:pStyle w:val="NormalWeb"/>
        <w:keepNext/>
        <w:rPr>
          <w:rFonts w:ascii="Arial" w:hAnsi="Arial" w:cs="Arial"/>
        </w:rPr>
      </w:pPr>
    </w:p>
    <w:p w14:paraId="1F513E22" w14:textId="77777777" w:rsidR="00291D9E" w:rsidRPr="00291D9E" w:rsidRDefault="00291D9E" w:rsidP="00291D9E">
      <w:pPr>
        <w:pStyle w:val="Descripcin"/>
        <w:jc w:val="center"/>
        <w:rPr>
          <w:rFonts w:ascii="Arial" w:hAnsi="Arial" w:cs="Arial"/>
          <w:szCs w:val="24"/>
        </w:rPr>
      </w:pPr>
      <w:r w:rsidRPr="00291D9E">
        <w:rPr>
          <w:rFonts w:ascii="Arial" w:hAnsi="Arial" w:cs="Arial"/>
          <w:szCs w:val="24"/>
        </w:rPr>
        <w:t xml:space="preserve">Ilustración </w:t>
      </w:r>
      <w:r w:rsidRPr="00291D9E">
        <w:rPr>
          <w:rFonts w:ascii="Arial" w:hAnsi="Arial" w:cs="Arial"/>
          <w:szCs w:val="24"/>
        </w:rPr>
        <w:fldChar w:fldCharType="begin"/>
      </w:r>
      <w:r w:rsidRPr="00291D9E">
        <w:rPr>
          <w:rFonts w:ascii="Arial" w:hAnsi="Arial" w:cs="Arial"/>
          <w:szCs w:val="24"/>
        </w:rPr>
        <w:instrText xml:space="preserve"> SEQ Ilustración \* ARABIC </w:instrText>
      </w:r>
      <w:r w:rsidRPr="00291D9E">
        <w:rPr>
          <w:rFonts w:ascii="Arial" w:hAnsi="Arial" w:cs="Arial"/>
          <w:szCs w:val="24"/>
        </w:rPr>
        <w:fldChar w:fldCharType="separate"/>
      </w:r>
      <w:r w:rsidRPr="00291D9E">
        <w:rPr>
          <w:rFonts w:ascii="Arial" w:hAnsi="Arial" w:cs="Arial"/>
          <w:noProof/>
          <w:szCs w:val="24"/>
        </w:rPr>
        <w:t>16</w:t>
      </w:r>
      <w:r w:rsidRPr="00291D9E">
        <w:rPr>
          <w:rFonts w:ascii="Arial" w:hAnsi="Arial" w:cs="Arial"/>
          <w:szCs w:val="24"/>
        </w:rPr>
        <w:fldChar w:fldCharType="end"/>
      </w:r>
      <w:r w:rsidRPr="00291D9E">
        <w:rPr>
          <w:rFonts w:ascii="Arial" w:hAnsi="Arial" w:cs="Arial"/>
          <w:szCs w:val="24"/>
        </w:rPr>
        <w:t>. Mapa de Análisis de redes</w:t>
      </w:r>
    </w:p>
    <w:p w14:paraId="0AC9543B" w14:textId="77777777" w:rsidR="00291D9E" w:rsidRPr="00291D9E" w:rsidRDefault="00291D9E" w:rsidP="00291D9E">
      <w:pPr>
        <w:rPr>
          <w:rFonts w:ascii="Arial" w:hAnsi="Arial" w:cs="Arial"/>
          <w:b/>
          <w:bCs/>
          <w:sz w:val="24"/>
          <w:szCs w:val="24"/>
        </w:rPr>
      </w:pPr>
      <w:r w:rsidRPr="00291D9E">
        <w:rPr>
          <w:rFonts w:ascii="Arial" w:hAnsi="Arial" w:cs="Arial"/>
          <w:sz w:val="24"/>
          <w:szCs w:val="24"/>
        </w:rPr>
        <w:t xml:space="preserve">De la red se observa que En la visualización se observan agrupamientos densos de nodos en algunas zonas, lo que indica una alta concentración de actores en ciertos departamentos. Estos clústeres sugieren regiones con una infraestructura institucional fuerte y un mayor potencial de articulación, como es el caso de Cundinamarca, Antioquia, Valle del Cauca, y Santander, que aparecen como centros gravitacionales de la red. Por otra parte, los departamentos como </w:t>
      </w:r>
      <w:r w:rsidRPr="00291D9E">
        <w:rPr>
          <w:rStyle w:val="Textoennegrita"/>
          <w:rFonts w:ascii="Arial" w:hAnsi="Arial" w:cs="Arial"/>
          <w:sz w:val="24"/>
          <w:szCs w:val="24"/>
        </w:rPr>
        <w:t>Vaupés</w:t>
      </w:r>
      <w:r w:rsidRPr="00291D9E">
        <w:rPr>
          <w:rFonts w:ascii="Arial" w:hAnsi="Arial" w:cs="Arial"/>
          <w:b/>
          <w:bCs/>
          <w:sz w:val="24"/>
          <w:szCs w:val="24"/>
        </w:rPr>
        <w:t xml:space="preserve">, </w:t>
      </w:r>
      <w:r w:rsidRPr="00291D9E">
        <w:rPr>
          <w:rStyle w:val="Textoennegrita"/>
          <w:rFonts w:ascii="Arial" w:hAnsi="Arial" w:cs="Arial"/>
          <w:sz w:val="24"/>
          <w:szCs w:val="24"/>
        </w:rPr>
        <w:t>Putumayo</w:t>
      </w:r>
      <w:r w:rsidRPr="00291D9E">
        <w:rPr>
          <w:rFonts w:ascii="Arial" w:hAnsi="Arial" w:cs="Arial"/>
          <w:b/>
          <w:bCs/>
          <w:sz w:val="24"/>
          <w:szCs w:val="24"/>
        </w:rPr>
        <w:t xml:space="preserve">, </w:t>
      </w:r>
      <w:r w:rsidRPr="00291D9E">
        <w:rPr>
          <w:rStyle w:val="Textoennegrita"/>
          <w:rFonts w:ascii="Arial" w:hAnsi="Arial" w:cs="Arial"/>
          <w:sz w:val="24"/>
          <w:szCs w:val="24"/>
        </w:rPr>
        <w:t>Caquetá</w:t>
      </w:r>
      <w:r w:rsidRPr="00291D9E">
        <w:rPr>
          <w:rFonts w:ascii="Arial" w:hAnsi="Arial" w:cs="Arial"/>
          <w:b/>
          <w:bCs/>
          <w:sz w:val="24"/>
          <w:szCs w:val="24"/>
        </w:rPr>
        <w:t xml:space="preserve">, </w:t>
      </w:r>
      <w:r w:rsidRPr="00291D9E">
        <w:rPr>
          <w:rFonts w:ascii="Arial" w:hAnsi="Arial" w:cs="Arial"/>
          <w:sz w:val="24"/>
          <w:szCs w:val="24"/>
        </w:rPr>
        <w:t>o</w:t>
      </w:r>
      <w:r w:rsidRPr="00291D9E">
        <w:rPr>
          <w:rFonts w:ascii="Arial" w:hAnsi="Arial" w:cs="Arial"/>
          <w:b/>
          <w:bCs/>
          <w:sz w:val="24"/>
          <w:szCs w:val="24"/>
        </w:rPr>
        <w:t xml:space="preserve"> </w:t>
      </w:r>
      <w:r w:rsidRPr="00291D9E">
        <w:rPr>
          <w:rStyle w:val="Textoennegrita"/>
          <w:rFonts w:ascii="Arial" w:hAnsi="Arial" w:cs="Arial"/>
          <w:sz w:val="24"/>
          <w:szCs w:val="24"/>
        </w:rPr>
        <w:t>San Andrés</w:t>
      </w:r>
      <w:r w:rsidRPr="00291D9E">
        <w:rPr>
          <w:rFonts w:ascii="Arial" w:hAnsi="Arial" w:cs="Arial"/>
          <w:sz w:val="24"/>
          <w:szCs w:val="24"/>
        </w:rPr>
        <w:t xml:space="preserve"> muestran muy pocos nodos y conexiones, lo que refleja una </w:t>
      </w:r>
      <w:r w:rsidRPr="00291D9E">
        <w:rPr>
          <w:rStyle w:val="Textoennegrita"/>
          <w:rFonts w:ascii="Arial" w:hAnsi="Arial" w:cs="Arial"/>
          <w:sz w:val="24"/>
          <w:szCs w:val="24"/>
        </w:rPr>
        <w:t>baja institucionalidad</w:t>
      </w:r>
      <w:r w:rsidRPr="00291D9E">
        <w:rPr>
          <w:rFonts w:ascii="Arial" w:hAnsi="Arial" w:cs="Arial"/>
          <w:sz w:val="24"/>
          <w:szCs w:val="24"/>
        </w:rPr>
        <w:t xml:space="preserve"> en términos de actores reconocidos del sistema STI o falta de representación en la base de datos. Esto pone de relieve la </w:t>
      </w:r>
      <w:r w:rsidRPr="00291D9E">
        <w:rPr>
          <w:rStyle w:val="Textoennegrita"/>
          <w:rFonts w:ascii="Arial" w:hAnsi="Arial" w:cs="Arial"/>
          <w:sz w:val="24"/>
          <w:szCs w:val="24"/>
        </w:rPr>
        <w:t>desigualdad regional en capacidades de innovación</w:t>
      </w:r>
      <w:r w:rsidRPr="00291D9E">
        <w:rPr>
          <w:rFonts w:ascii="Arial" w:hAnsi="Arial" w:cs="Arial"/>
          <w:b/>
          <w:bCs/>
          <w:sz w:val="24"/>
          <w:szCs w:val="24"/>
        </w:rPr>
        <w:t>.</w:t>
      </w:r>
    </w:p>
    <w:p w14:paraId="6C2AF359" w14:textId="43DAF82D" w:rsidR="00291D9E" w:rsidRPr="00291D9E" w:rsidRDefault="00291D9E" w:rsidP="00291D9E">
      <w:pPr>
        <w:spacing w:beforeAutospacing="1" w:afterAutospacing="1" w:line="480" w:lineRule="exact"/>
        <w:rPr>
          <w:rFonts w:ascii="Arial" w:eastAsia="Times New Roman" w:hAnsi="Arial" w:cs="Arial"/>
          <w:sz w:val="24"/>
          <w:szCs w:val="24"/>
        </w:rPr>
      </w:pPr>
      <w:r w:rsidRPr="00291D9E">
        <w:rPr>
          <w:rFonts w:ascii="Arial" w:eastAsia="Times New Roman" w:hAnsi="Arial" w:cs="Arial"/>
          <w:sz w:val="24"/>
          <w:szCs w:val="24"/>
        </w:rPr>
        <w:t xml:space="preserve">Finalmente, luego de la revisión y el reconocimiento de los actores se realiza el diagnóstico de capacidades que genera el diagnostico de los sistemas de innovacion territorial en Colombia el cual se resumen en la siguiente matriz DOFA. </w:t>
      </w:r>
    </w:p>
    <w:p w14:paraId="1F7609CD" w14:textId="77777777" w:rsidR="00291D9E" w:rsidRPr="00291D9E" w:rsidRDefault="00291D9E" w:rsidP="00440A49">
      <w:pPr>
        <w:spacing w:after="0" w:line="480" w:lineRule="auto"/>
        <w:ind w:left="709" w:hanging="709"/>
        <w:jc w:val="both"/>
        <w:rPr>
          <w:rFonts w:ascii="Arial" w:hAnsi="Arial" w:cs="Arial"/>
          <w:b/>
          <w:sz w:val="24"/>
          <w:szCs w:val="24"/>
        </w:rPr>
      </w:pPr>
    </w:p>
    <w:tbl>
      <w:tblPr>
        <w:tblW w:w="9160" w:type="dxa"/>
        <w:tblCellMar>
          <w:left w:w="70" w:type="dxa"/>
          <w:right w:w="70" w:type="dxa"/>
        </w:tblCellMar>
        <w:tblLook w:val="04A0" w:firstRow="1" w:lastRow="0" w:firstColumn="1" w:lastColumn="0" w:noHBand="0" w:noVBand="1"/>
      </w:tblPr>
      <w:tblGrid>
        <w:gridCol w:w="2260"/>
        <w:gridCol w:w="3460"/>
        <w:gridCol w:w="3440"/>
      </w:tblGrid>
      <w:tr w:rsidR="006A7C35" w:rsidRPr="006A7C35" w14:paraId="058382E8" w14:textId="77777777" w:rsidTr="006A7C35">
        <w:trPr>
          <w:trHeight w:val="819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0AD79" w14:textId="77777777" w:rsidR="006A7C35" w:rsidRPr="006A7C35" w:rsidRDefault="006A7C35" w:rsidP="006A7C35">
            <w:pPr>
              <w:spacing w:after="0" w:line="240" w:lineRule="auto"/>
              <w:rPr>
                <w:rFonts w:ascii="Arial" w:eastAsia="Times New Roman" w:hAnsi="Arial" w:cs="Arial"/>
                <w:b/>
                <w:bCs/>
                <w:color w:val="000000"/>
                <w:sz w:val="24"/>
                <w:szCs w:val="24"/>
              </w:rPr>
            </w:pPr>
            <w:r w:rsidRPr="006A7C35">
              <w:rPr>
                <w:rFonts w:ascii="Arial" w:eastAsia="Times New Roman" w:hAnsi="Arial" w:cs="Arial"/>
                <w:b/>
                <w:bCs/>
                <w:color w:val="000000"/>
                <w:sz w:val="24"/>
                <w:szCs w:val="24"/>
              </w:rPr>
              <w:lastRenderedPageBreak/>
              <w:t>INTERNAS</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14:paraId="6F1BF743" w14:textId="1B185BAF" w:rsidR="006A7C35" w:rsidRPr="006A7C35" w:rsidRDefault="006A7C35" w:rsidP="006A7C35">
            <w:pPr>
              <w:spacing w:after="0" w:line="240" w:lineRule="auto"/>
              <w:rPr>
                <w:rFonts w:ascii="Arial" w:eastAsia="Times New Roman" w:hAnsi="Arial" w:cs="Arial"/>
                <w:b/>
                <w:bCs/>
                <w:color w:val="000000"/>
                <w:sz w:val="24"/>
                <w:szCs w:val="24"/>
              </w:rPr>
            </w:pPr>
            <w:r w:rsidRPr="006A7C35">
              <w:rPr>
                <w:rFonts w:ascii="Arial" w:eastAsia="Times New Roman" w:hAnsi="Arial" w:cs="Arial"/>
                <w:b/>
                <w:bCs/>
                <w:color w:val="000000"/>
                <w:sz w:val="24"/>
                <w:szCs w:val="24"/>
              </w:rPr>
              <w:t xml:space="preserve">F1. Marco institucional y normativo en proceso de </w:t>
            </w:r>
            <w:r w:rsidRPr="00291D9E">
              <w:rPr>
                <w:rFonts w:ascii="Arial" w:eastAsia="Times New Roman" w:hAnsi="Arial" w:cs="Arial"/>
                <w:b/>
                <w:bCs/>
                <w:color w:val="000000"/>
                <w:sz w:val="24"/>
                <w:szCs w:val="24"/>
              </w:rPr>
              <w:t>consolidación.</w:t>
            </w:r>
            <w:r w:rsidRPr="00291D9E">
              <w:rPr>
                <w:rFonts w:ascii="Arial" w:eastAsia="Times New Roman" w:hAnsi="Arial" w:cs="Arial"/>
                <w:color w:val="000000"/>
                <w:sz w:val="24"/>
                <w:szCs w:val="24"/>
              </w:rPr>
              <w:t xml:space="preserve"> La</w:t>
            </w:r>
            <w:r w:rsidRPr="006A7C35">
              <w:rPr>
                <w:rFonts w:ascii="Arial" w:eastAsia="Times New Roman" w:hAnsi="Arial" w:cs="Arial"/>
                <w:color w:val="000000"/>
                <w:sz w:val="24"/>
                <w:szCs w:val="24"/>
              </w:rPr>
              <w:t xml:space="preserve"> existencia de leyes como la 1286 de 2009, los instrumentos del CONPES y la creación de Consejos Departamentales de Ciencia y Tecnología establecen los lineamientos para la innovación territorial.                                                                                                                             </w:t>
            </w:r>
            <w:r w:rsidRPr="006A7C35">
              <w:rPr>
                <w:rFonts w:ascii="Arial" w:eastAsia="Times New Roman" w:hAnsi="Arial" w:cs="Arial"/>
                <w:b/>
                <w:bCs/>
                <w:color w:val="000000"/>
                <w:sz w:val="24"/>
                <w:szCs w:val="24"/>
              </w:rPr>
              <w:t xml:space="preserve">F2. Presencia de instituciones académicas y centros de investigación consolidados en varias </w:t>
            </w:r>
            <w:r w:rsidRPr="00291D9E">
              <w:rPr>
                <w:rFonts w:ascii="Arial" w:eastAsia="Times New Roman" w:hAnsi="Arial" w:cs="Arial"/>
                <w:b/>
                <w:bCs/>
                <w:color w:val="000000"/>
                <w:sz w:val="24"/>
                <w:szCs w:val="24"/>
              </w:rPr>
              <w:t>regiones.</w:t>
            </w:r>
            <w:r w:rsidRPr="00291D9E">
              <w:rPr>
                <w:rFonts w:ascii="Arial" w:eastAsia="Times New Roman" w:hAnsi="Arial" w:cs="Arial"/>
                <w:color w:val="000000"/>
                <w:sz w:val="24"/>
                <w:szCs w:val="24"/>
              </w:rPr>
              <w:t xml:space="preserve"> Universidades</w:t>
            </w:r>
            <w:r w:rsidRPr="006A7C35">
              <w:rPr>
                <w:rFonts w:ascii="Arial" w:eastAsia="Times New Roman" w:hAnsi="Arial" w:cs="Arial"/>
                <w:color w:val="000000"/>
                <w:sz w:val="24"/>
                <w:szCs w:val="24"/>
              </w:rPr>
              <w:t xml:space="preserve"> y centros de investigación con trayectoria que pueden liderar estrategias de innovación e I+D.                                                                                                                                      </w:t>
            </w:r>
            <w:r w:rsidRPr="006A7C35">
              <w:rPr>
                <w:rFonts w:ascii="Arial" w:eastAsia="Times New Roman" w:hAnsi="Arial" w:cs="Arial"/>
                <w:b/>
                <w:bCs/>
                <w:color w:val="000000"/>
                <w:sz w:val="24"/>
                <w:szCs w:val="24"/>
              </w:rPr>
              <w:t xml:space="preserve">F3. Creciente interés del sector privado en la </w:t>
            </w:r>
            <w:r w:rsidRPr="00291D9E">
              <w:rPr>
                <w:rFonts w:ascii="Arial" w:eastAsia="Times New Roman" w:hAnsi="Arial" w:cs="Arial"/>
                <w:b/>
                <w:bCs/>
                <w:color w:val="000000"/>
                <w:sz w:val="24"/>
                <w:szCs w:val="24"/>
              </w:rPr>
              <w:t>innovación.</w:t>
            </w:r>
            <w:r w:rsidRPr="00291D9E">
              <w:rPr>
                <w:rFonts w:ascii="Arial" w:eastAsia="Times New Roman" w:hAnsi="Arial" w:cs="Arial"/>
                <w:color w:val="000000"/>
                <w:sz w:val="24"/>
                <w:szCs w:val="24"/>
              </w:rPr>
              <w:t xml:space="preserve"> Algunas</w:t>
            </w:r>
            <w:r w:rsidRPr="006A7C35">
              <w:rPr>
                <w:rFonts w:ascii="Arial" w:eastAsia="Times New Roman" w:hAnsi="Arial" w:cs="Arial"/>
                <w:color w:val="000000"/>
                <w:sz w:val="24"/>
                <w:szCs w:val="24"/>
              </w:rPr>
              <w:t xml:space="preserve"> grandes empresas y pymes han incrementado sus inversiones en proyectos de I+D y han establecido alianzas con el gobierno y las universidades.</w:t>
            </w:r>
          </w:p>
        </w:tc>
        <w:tc>
          <w:tcPr>
            <w:tcW w:w="3440" w:type="dxa"/>
            <w:tcBorders>
              <w:top w:val="single" w:sz="4" w:space="0" w:color="auto"/>
              <w:left w:val="nil"/>
              <w:bottom w:val="single" w:sz="4" w:space="0" w:color="auto"/>
              <w:right w:val="single" w:sz="4" w:space="0" w:color="auto"/>
            </w:tcBorders>
            <w:shd w:val="clear" w:color="auto" w:fill="auto"/>
            <w:vAlign w:val="center"/>
            <w:hideMark/>
          </w:tcPr>
          <w:p w14:paraId="1EE9AC4B" w14:textId="7EC9B8AF" w:rsidR="006A7C35" w:rsidRPr="006A7C35" w:rsidRDefault="006A7C35" w:rsidP="006A7C35">
            <w:pPr>
              <w:spacing w:after="0" w:line="240" w:lineRule="auto"/>
              <w:rPr>
                <w:rFonts w:ascii="Arial" w:eastAsia="Times New Roman" w:hAnsi="Arial" w:cs="Arial"/>
                <w:b/>
                <w:bCs/>
                <w:color w:val="000000"/>
                <w:sz w:val="24"/>
                <w:szCs w:val="24"/>
              </w:rPr>
            </w:pPr>
            <w:r w:rsidRPr="006A7C35">
              <w:rPr>
                <w:rFonts w:ascii="Arial" w:eastAsia="Times New Roman" w:hAnsi="Arial" w:cs="Arial"/>
                <w:b/>
                <w:bCs/>
                <w:color w:val="000000"/>
                <w:sz w:val="24"/>
                <w:szCs w:val="24"/>
              </w:rPr>
              <w:t>D1. Falta de coordinación y desconexión entre actores.</w:t>
            </w:r>
            <w:r w:rsidR="009430BD" w:rsidRPr="006A7C35">
              <w:rPr>
                <w:rFonts w:ascii="Arial" w:eastAsia="Times New Roman" w:hAnsi="Arial" w:cs="Arial"/>
                <w:color w:val="000000"/>
                <w:sz w:val="24"/>
                <w:szCs w:val="24"/>
              </w:rPr>
              <w:t xml:space="preserve"> </w:t>
            </w:r>
            <w:r w:rsidRPr="006A7C35">
              <w:rPr>
                <w:rFonts w:ascii="Arial" w:eastAsia="Times New Roman" w:hAnsi="Arial" w:cs="Arial"/>
                <w:color w:val="000000"/>
                <w:sz w:val="24"/>
                <w:szCs w:val="24"/>
              </w:rPr>
              <w:t xml:space="preserve">Las relaciones entre academia, empresa, gobierno y sociedad civil son limitadas, lo que reduce la efectividad de las iniciativas de innovación territorial.                                                                          </w:t>
            </w:r>
            <w:r w:rsidRPr="006A7C35">
              <w:rPr>
                <w:rFonts w:ascii="Arial" w:eastAsia="Times New Roman" w:hAnsi="Arial" w:cs="Arial"/>
                <w:b/>
                <w:bCs/>
                <w:color w:val="000000"/>
                <w:sz w:val="24"/>
                <w:szCs w:val="24"/>
              </w:rPr>
              <w:t xml:space="preserve">D2. Brechas de infraestructura y recursos en regiones </w:t>
            </w:r>
            <w:r w:rsidRPr="00291D9E">
              <w:rPr>
                <w:rFonts w:ascii="Arial" w:eastAsia="Times New Roman" w:hAnsi="Arial" w:cs="Arial"/>
                <w:b/>
                <w:bCs/>
                <w:color w:val="000000"/>
                <w:sz w:val="24"/>
                <w:szCs w:val="24"/>
              </w:rPr>
              <w:t>periféricas.</w:t>
            </w:r>
            <w:r w:rsidRPr="00291D9E">
              <w:rPr>
                <w:rFonts w:ascii="Arial" w:eastAsia="Times New Roman" w:hAnsi="Arial" w:cs="Arial"/>
                <w:color w:val="000000"/>
                <w:sz w:val="24"/>
                <w:szCs w:val="24"/>
              </w:rPr>
              <w:t xml:space="preserve"> La</w:t>
            </w:r>
            <w:r w:rsidRPr="006A7C35">
              <w:rPr>
                <w:rFonts w:ascii="Arial" w:eastAsia="Times New Roman" w:hAnsi="Arial" w:cs="Arial"/>
                <w:color w:val="000000"/>
                <w:sz w:val="24"/>
                <w:szCs w:val="24"/>
              </w:rPr>
              <w:t xml:space="preserve"> baja disponibilidad de laboratorios, redes tecnológicas y talento especializado entorpece el desarrollo de proyectos innovadores, sobre todo en zonas rurales.                                  </w:t>
            </w:r>
            <w:r w:rsidRPr="006A7C35">
              <w:rPr>
                <w:rFonts w:ascii="Arial" w:eastAsia="Times New Roman" w:hAnsi="Arial" w:cs="Arial"/>
                <w:b/>
                <w:bCs/>
                <w:color w:val="000000"/>
                <w:sz w:val="24"/>
                <w:szCs w:val="24"/>
              </w:rPr>
              <w:t xml:space="preserve">D3. Limitado uso de indicadores y evaluación de capacidades </w:t>
            </w:r>
            <w:r w:rsidRPr="00291D9E">
              <w:rPr>
                <w:rFonts w:ascii="Arial" w:eastAsia="Times New Roman" w:hAnsi="Arial" w:cs="Arial"/>
                <w:b/>
                <w:bCs/>
                <w:color w:val="000000"/>
                <w:sz w:val="24"/>
                <w:szCs w:val="24"/>
              </w:rPr>
              <w:t>innovadoras.</w:t>
            </w:r>
            <w:r w:rsidRPr="00291D9E">
              <w:rPr>
                <w:rFonts w:ascii="Arial" w:eastAsia="Times New Roman" w:hAnsi="Arial" w:cs="Arial"/>
                <w:color w:val="000000"/>
                <w:sz w:val="24"/>
                <w:szCs w:val="24"/>
              </w:rPr>
              <w:t xml:space="preserve"> No</w:t>
            </w:r>
            <w:r w:rsidRPr="006A7C35">
              <w:rPr>
                <w:rFonts w:ascii="Arial" w:eastAsia="Times New Roman" w:hAnsi="Arial" w:cs="Arial"/>
                <w:color w:val="000000"/>
                <w:sz w:val="24"/>
                <w:szCs w:val="24"/>
              </w:rPr>
              <w:t xml:space="preserve"> existe un sistema unificado y actualizado de información sobre inversión en I+D, patentes y redes de colaboración a nivel regional.</w:t>
            </w:r>
          </w:p>
        </w:tc>
      </w:tr>
      <w:tr w:rsidR="006A7C35" w:rsidRPr="006A7C35" w14:paraId="76F785F4" w14:textId="77777777" w:rsidTr="006A7C35">
        <w:trPr>
          <w:trHeight w:val="100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2141A09A" w14:textId="77777777" w:rsidR="006A7C35" w:rsidRPr="006A7C35" w:rsidRDefault="006A7C35" w:rsidP="006A7C35">
            <w:pPr>
              <w:spacing w:after="0" w:line="240" w:lineRule="auto"/>
              <w:jc w:val="center"/>
              <w:rPr>
                <w:rFonts w:ascii="Arial" w:eastAsia="Times New Roman" w:hAnsi="Arial" w:cs="Arial"/>
                <w:b/>
                <w:bCs/>
                <w:color w:val="000000"/>
                <w:sz w:val="24"/>
                <w:szCs w:val="24"/>
              </w:rPr>
            </w:pPr>
            <w:r w:rsidRPr="006A7C35">
              <w:rPr>
                <w:rFonts w:ascii="Arial" w:eastAsia="Times New Roman" w:hAnsi="Arial" w:cs="Arial"/>
                <w:b/>
                <w:bCs/>
                <w:color w:val="000000"/>
                <w:sz w:val="24"/>
                <w:szCs w:val="24"/>
              </w:rPr>
              <w:t> </w:t>
            </w:r>
          </w:p>
        </w:tc>
        <w:tc>
          <w:tcPr>
            <w:tcW w:w="3460" w:type="dxa"/>
            <w:tcBorders>
              <w:top w:val="nil"/>
              <w:left w:val="nil"/>
              <w:bottom w:val="single" w:sz="4" w:space="0" w:color="auto"/>
              <w:right w:val="single" w:sz="4" w:space="0" w:color="auto"/>
            </w:tcBorders>
            <w:shd w:val="clear" w:color="auto" w:fill="auto"/>
            <w:vAlign w:val="center"/>
            <w:hideMark/>
          </w:tcPr>
          <w:p w14:paraId="6DBAEEC3" w14:textId="77777777" w:rsidR="006A7C35" w:rsidRPr="006A7C35" w:rsidRDefault="006A7C35" w:rsidP="006A7C35">
            <w:pPr>
              <w:spacing w:after="0" w:line="240" w:lineRule="auto"/>
              <w:jc w:val="center"/>
              <w:rPr>
                <w:rFonts w:ascii="Arial" w:eastAsia="Times New Roman" w:hAnsi="Arial" w:cs="Arial"/>
                <w:b/>
                <w:bCs/>
                <w:color w:val="000000"/>
                <w:sz w:val="24"/>
                <w:szCs w:val="24"/>
              </w:rPr>
            </w:pPr>
            <w:r w:rsidRPr="006A7C35">
              <w:rPr>
                <w:rFonts w:ascii="Arial" w:eastAsia="Times New Roman" w:hAnsi="Arial" w:cs="Arial"/>
                <w:b/>
                <w:bCs/>
                <w:color w:val="000000"/>
                <w:sz w:val="24"/>
                <w:szCs w:val="24"/>
              </w:rPr>
              <w:t>OPORTUNIDADES (O)</w:t>
            </w:r>
          </w:p>
        </w:tc>
        <w:tc>
          <w:tcPr>
            <w:tcW w:w="3440" w:type="dxa"/>
            <w:tcBorders>
              <w:top w:val="nil"/>
              <w:left w:val="nil"/>
              <w:bottom w:val="single" w:sz="4" w:space="0" w:color="auto"/>
              <w:right w:val="single" w:sz="4" w:space="0" w:color="auto"/>
            </w:tcBorders>
            <w:shd w:val="clear" w:color="auto" w:fill="auto"/>
            <w:vAlign w:val="center"/>
            <w:hideMark/>
          </w:tcPr>
          <w:p w14:paraId="37669F3C" w14:textId="77777777" w:rsidR="006A7C35" w:rsidRPr="006A7C35" w:rsidRDefault="006A7C35" w:rsidP="006A7C35">
            <w:pPr>
              <w:spacing w:after="0" w:line="240" w:lineRule="auto"/>
              <w:jc w:val="center"/>
              <w:rPr>
                <w:rFonts w:ascii="Arial" w:eastAsia="Times New Roman" w:hAnsi="Arial" w:cs="Arial"/>
                <w:b/>
                <w:bCs/>
                <w:color w:val="000000"/>
                <w:sz w:val="24"/>
                <w:szCs w:val="24"/>
              </w:rPr>
            </w:pPr>
            <w:r w:rsidRPr="006A7C35">
              <w:rPr>
                <w:rFonts w:ascii="Arial" w:eastAsia="Times New Roman" w:hAnsi="Arial" w:cs="Arial"/>
                <w:b/>
                <w:bCs/>
                <w:color w:val="000000"/>
                <w:sz w:val="24"/>
                <w:szCs w:val="24"/>
              </w:rPr>
              <w:t>AMENAZAS (A)</w:t>
            </w:r>
          </w:p>
        </w:tc>
      </w:tr>
      <w:tr w:rsidR="006A7C35" w:rsidRPr="006A7C35" w14:paraId="04B5C4B7" w14:textId="77777777" w:rsidTr="006A7C35">
        <w:trPr>
          <w:trHeight w:val="810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0DAD495" w14:textId="77777777" w:rsidR="006A7C35" w:rsidRPr="006A7C35" w:rsidRDefault="006A7C35" w:rsidP="006A7C35">
            <w:pPr>
              <w:spacing w:after="0" w:line="240" w:lineRule="auto"/>
              <w:rPr>
                <w:rFonts w:ascii="Arial" w:eastAsia="Times New Roman" w:hAnsi="Arial" w:cs="Arial"/>
                <w:b/>
                <w:bCs/>
                <w:color w:val="000000"/>
                <w:sz w:val="24"/>
                <w:szCs w:val="24"/>
              </w:rPr>
            </w:pPr>
            <w:r w:rsidRPr="006A7C35">
              <w:rPr>
                <w:rFonts w:ascii="Arial" w:eastAsia="Times New Roman" w:hAnsi="Arial" w:cs="Arial"/>
                <w:b/>
                <w:bCs/>
                <w:color w:val="000000"/>
                <w:sz w:val="24"/>
                <w:szCs w:val="24"/>
              </w:rPr>
              <w:lastRenderedPageBreak/>
              <w:t>EXTERNAS</w:t>
            </w:r>
          </w:p>
        </w:tc>
        <w:tc>
          <w:tcPr>
            <w:tcW w:w="3460" w:type="dxa"/>
            <w:tcBorders>
              <w:top w:val="nil"/>
              <w:left w:val="nil"/>
              <w:bottom w:val="single" w:sz="4" w:space="0" w:color="auto"/>
              <w:right w:val="single" w:sz="4" w:space="0" w:color="auto"/>
            </w:tcBorders>
            <w:shd w:val="clear" w:color="auto" w:fill="auto"/>
            <w:vAlign w:val="center"/>
            <w:hideMark/>
          </w:tcPr>
          <w:p w14:paraId="361A242F" w14:textId="409261B3" w:rsidR="006A7C35" w:rsidRPr="006A7C35" w:rsidRDefault="006A7C35" w:rsidP="006A7C35">
            <w:pPr>
              <w:spacing w:after="0" w:line="240" w:lineRule="auto"/>
              <w:rPr>
                <w:rFonts w:ascii="Arial" w:eastAsia="Times New Roman" w:hAnsi="Arial" w:cs="Arial"/>
                <w:b/>
                <w:bCs/>
                <w:color w:val="000000"/>
                <w:sz w:val="24"/>
                <w:szCs w:val="24"/>
              </w:rPr>
            </w:pPr>
            <w:r w:rsidRPr="006A7C35">
              <w:rPr>
                <w:rFonts w:ascii="Arial" w:eastAsia="Times New Roman" w:hAnsi="Arial" w:cs="Arial"/>
                <w:b/>
                <w:bCs/>
                <w:color w:val="000000"/>
                <w:sz w:val="24"/>
                <w:szCs w:val="24"/>
              </w:rPr>
              <w:t xml:space="preserve">O1. Interés nacional e internacional por la innovación y la </w:t>
            </w:r>
            <w:r w:rsidRPr="00291D9E">
              <w:rPr>
                <w:rFonts w:ascii="Arial" w:eastAsia="Times New Roman" w:hAnsi="Arial" w:cs="Arial"/>
                <w:b/>
                <w:bCs/>
                <w:color w:val="000000"/>
                <w:sz w:val="24"/>
                <w:szCs w:val="24"/>
              </w:rPr>
              <w:t>competitividad.</w:t>
            </w:r>
            <w:r w:rsidRPr="00291D9E">
              <w:rPr>
                <w:rFonts w:ascii="Arial" w:eastAsia="Times New Roman" w:hAnsi="Arial" w:cs="Arial"/>
                <w:color w:val="000000"/>
                <w:sz w:val="24"/>
                <w:szCs w:val="24"/>
              </w:rPr>
              <w:t xml:space="preserve"> El</w:t>
            </w:r>
            <w:r w:rsidRPr="006A7C35">
              <w:rPr>
                <w:rFonts w:ascii="Arial" w:eastAsia="Times New Roman" w:hAnsi="Arial" w:cs="Arial"/>
                <w:color w:val="000000"/>
                <w:sz w:val="24"/>
                <w:szCs w:val="24"/>
              </w:rPr>
              <w:t xml:space="preserve"> gobierno y organismos multilaterales (BID, OCDE, UE) apoyan políticas y proyectos de innovación que pueden fortalecerse a nivel territorial.                                                                                                             </w:t>
            </w:r>
            <w:r w:rsidRPr="006A7C35">
              <w:rPr>
                <w:rFonts w:ascii="Arial" w:eastAsia="Times New Roman" w:hAnsi="Arial" w:cs="Arial"/>
                <w:b/>
                <w:bCs/>
                <w:color w:val="000000"/>
                <w:sz w:val="24"/>
                <w:szCs w:val="24"/>
              </w:rPr>
              <w:t xml:space="preserve">O2. Potencial de especialización inteligente (RIS3) en distintas </w:t>
            </w:r>
            <w:r w:rsidRPr="00291D9E">
              <w:rPr>
                <w:rFonts w:ascii="Arial" w:eastAsia="Times New Roman" w:hAnsi="Arial" w:cs="Arial"/>
                <w:b/>
                <w:bCs/>
                <w:color w:val="000000"/>
                <w:sz w:val="24"/>
                <w:szCs w:val="24"/>
              </w:rPr>
              <w:t>regiones.</w:t>
            </w:r>
            <w:r w:rsidRPr="00291D9E">
              <w:rPr>
                <w:rFonts w:ascii="Arial" w:eastAsia="Times New Roman" w:hAnsi="Arial" w:cs="Arial"/>
                <w:color w:val="000000"/>
                <w:sz w:val="24"/>
                <w:szCs w:val="24"/>
              </w:rPr>
              <w:t xml:space="preserve"> Cada</w:t>
            </w:r>
            <w:r w:rsidRPr="006A7C35">
              <w:rPr>
                <w:rFonts w:ascii="Arial" w:eastAsia="Times New Roman" w:hAnsi="Arial" w:cs="Arial"/>
                <w:color w:val="000000"/>
                <w:sz w:val="24"/>
                <w:szCs w:val="24"/>
              </w:rPr>
              <w:t xml:space="preserve"> departamento presenta ventajas sectoriales (agroindustria, turismo, TI, energía) que pueden potenciarse con planes específicos de innovación regional.                                                                            </w:t>
            </w:r>
            <w:r w:rsidRPr="006A7C35">
              <w:rPr>
                <w:rFonts w:ascii="Arial" w:eastAsia="Times New Roman" w:hAnsi="Arial" w:cs="Arial"/>
                <w:b/>
                <w:bCs/>
                <w:color w:val="000000"/>
                <w:sz w:val="24"/>
                <w:szCs w:val="24"/>
              </w:rPr>
              <w:t xml:space="preserve">O3. Creciente ecosistema emprendedor y startup en varias </w:t>
            </w:r>
            <w:r w:rsidRPr="00291D9E">
              <w:rPr>
                <w:rFonts w:ascii="Arial" w:eastAsia="Times New Roman" w:hAnsi="Arial" w:cs="Arial"/>
                <w:b/>
                <w:bCs/>
                <w:color w:val="000000"/>
                <w:sz w:val="24"/>
                <w:szCs w:val="24"/>
              </w:rPr>
              <w:t>ciudades.</w:t>
            </w:r>
            <w:r w:rsidRPr="00291D9E">
              <w:rPr>
                <w:rFonts w:ascii="Arial" w:eastAsia="Times New Roman" w:hAnsi="Arial" w:cs="Arial"/>
                <w:color w:val="000000"/>
                <w:sz w:val="24"/>
                <w:szCs w:val="24"/>
              </w:rPr>
              <w:t xml:space="preserve"> Iniciativas</w:t>
            </w:r>
            <w:r w:rsidRPr="006A7C35">
              <w:rPr>
                <w:rFonts w:ascii="Arial" w:eastAsia="Times New Roman" w:hAnsi="Arial" w:cs="Arial"/>
                <w:color w:val="000000"/>
                <w:sz w:val="24"/>
                <w:szCs w:val="24"/>
              </w:rPr>
              <w:t xml:space="preserve"> de emprendimiento tecnológico, incubadoras, aceleradoras y programas públicos que promueven la innovación local.</w:t>
            </w:r>
          </w:p>
        </w:tc>
        <w:tc>
          <w:tcPr>
            <w:tcW w:w="3440" w:type="dxa"/>
            <w:tcBorders>
              <w:top w:val="nil"/>
              <w:left w:val="nil"/>
              <w:bottom w:val="single" w:sz="4" w:space="0" w:color="auto"/>
              <w:right w:val="single" w:sz="4" w:space="0" w:color="auto"/>
            </w:tcBorders>
            <w:shd w:val="clear" w:color="auto" w:fill="auto"/>
            <w:vAlign w:val="center"/>
            <w:hideMark/>
          </w:tcPr>
          <w:p w14:paraId="23EAE090" w14:textId="4C118E5F" w:rsidR="006A7C35" w:rsidRPr="006A7C35" w:rsidRDefault="006A7C35" w:rsidP="006A7C35">
            <w:pPr>
              <w:spacing w:after="0" w:line="240" w:lineRule="auto"/>
              <w:rPr>
                <w:rFonts w:ascii="Arial" w:eastAsia="Times New Roman" w:hAnsi="Arial" w:cs="Arial"/>
                <w:b/>
                <w:bCs/>
                <w:color w:val="000000"/>
                <w:sz w:val="24"/>
                <w:szCs w:val="24"/>
              </w:rPr>
            </w:pPr>
            <w:r w:rsidRPr="006A7C35">
              <w:rPr>
                <w:rFonts w:ascii="Arial" w:eastAsia="Times New Roman" w:hAnsi="Arial" w:cs="Arial"/>
                <w:b/>
                <w:bCs/>
                <w:color w:val="000000"/>
                <w:sz w:val="24"/>
                <w:szCs w:val="24"/>
              </w:rPr>
              <w:t xml:space="preserve">A1. Inestabilidad política y cambios frecuentes en la orientación de la política </w:t>
            </w:r>
            <w:r w:rsidRPr="00291D9E">
              <w:rPr>
                <w:rFonts w:ascii="Arial" w:eastAsia="Times New Roman" w:hAnsi="Arial" w:cs="Arial"/>
                <w:b/>
                <w:bCs/>
                <w:color w:val="000000"/>
                <w:sz w:val="24"/>
                <w:szCs w:val="24"/>
              </w:rPr>
              <w:t>pública.</w:t>
            </w:r>
            <w:r w:rsidRPr="00291D9E">
              <w:rPr>
                <w:rFonts w:ascii="Arial" w:eastAsia="Times New Roman" w:hAnsi="Arial" w:cs="Arial"/>
                <w:color w:val="000000"/>
                <w:sz w:val="24"/>
                <w:szCs w:val="24"/>
              </w:rPr>
              <w:t xml:space="preserve"> Las</w:t>
            </w:r>
            <w:r w:rsidRPr="006A7C35">
              <w:rPr>
                <w:rFonts w:ascii="Arial" w:eastAsia="Times New Roman" w:hAnsi="Arial" w:cs="Arial"/>
                <w:color w:val="000000"/>
                <w:sz w:val="24"/>
                <w:szCs w:val="24"/>
              </w:rPr>
              <w:t xml:space="preserve"> variaciones en la agenda gubernamental pueden frenar la continuidad de iniciativas de innovación en las regiones.                                                                                     </w:t>
            </w:r>
            <w:r w:rsidRPr="006A7C35">
              <w:rPr>
                <w:rFonts w:ascii="Arial" w:eastAsia="Times New Roman" w:hAnsi="Arial" w:cs="Arial"/>
                <w:b/>
                <w:bCs/>
                <w:color w:val="000000"/>
                <w:sz w:val="24"/>
                <w:szCs w:val="24"/>
              </w:rPr>
              <w:t xml:space="preserve">A2. Desigualdades socioeconómicas </w:t>
            </w:r>
            <w:r w:rsidRPr="00291D9E">
              <w:rPr>
                <w:rFonts w:ascii="Arial" w:eastAsia="Times New Roman" w:hAnsi="Arial" w:cs="Arial"/>
                <w:b/>
                <w:bCs/>
                <w:color w:val="000000"/>
                <w:sz w:val="24"/>
                <w:szCs w:val="24"/>
              </w:rPr>
              <w:t>acentuadas.</w:t>
            </w:r>
            <w:r w:rsidRPr="00291D9E">
              <w:rPr>
                <w:rFonts w:ascii="Arial" w:eastAsia="Times New Roman" w:hAnsi="Arial" w:cs="Arial"/>
                <w:color w:val="000000"/>
                <w:sz w:val="24"/>
                <w:szCs w:val="24"/>
              </w:rPr>
              <w:t xml:space="preserve"> Las</w:t>
            </w:r>
            <w:r w:rsidRPr="006A7C35">
              <w:rPr>
                <w:rFonts w:ascii="Arial" w:eastAsia="Times New Roman" w:hAnsi="Arial" w:cs="Arial"/>
                <w:color w:val="000000"/>
                <w:sz w:val="24"/>
                <w:szCs w:val="24"/>
              </w:rPr>
              <w:t xml:space="preserve"> brechas de ingreso, educación y acceso tecnológico ponen en riesgo la implementación equitativa de las estrategias de innovación, afectando especialmente a zonas rurales.                                                               </w:t>
            </w:r>
            <w:r w:rsidRPr="006A7C35">
              <w:rPr>
                <w:rFonts w:ascii="Arial" w:eastAsia="Times New Roman" w:hAnsi="Arial" w:cs="Arial"/>
                <w:b/>
                <w:bCs/>
                <w:color w:val="000000"/>
                <w:sz w:val="24"/>
                <w:szCs w:val="24"/>
              </w:rPr>
              <w:t xml:space="preserve">A3. Falta de continuidad y burocracia en la asignación de </w:t>
            </w:r>
            <w:r w:rsidRPr="00291D9E">
              <w:rPr>
                <w:rFonts w:ascii="Arial" w:eastAsia="Times New Roman" w:hAnsi="Arial" w:cs="Arial"/>
                <w:b/>
                <w:bCs/>
                <w:color w:val="000000"/>
                <w:sz w:val="24"/>
                <w:szCs w:val="24"/>
              </w:rPr>
              <w:t>recursos.</w:t>
            </w:r>
            <w:r w:rsidRPr="00291D9E">
              <w:rPr>
                <w:rFonts w:ascii="Arial" w:eastAsia="Times New Roman" w:hAnsi="Arial" w:cs="Arial"/>
                <w:color w:val="000000"/>
                <w:sz w:val="24"/>
                <w:szCs w:val="24"/>
              </w:rPr>
              <w:t xml:space="preserve"> La</w:t>
            </w:r>
            <w:r w:rsidRPr="006A7C35">
              <w:rPr>
                <w:rFonts w:ascii="Arial" w:eastAsia="Times New Roman" w:hAnsi="Arial" w:cs="Arial"/>
                <w:color w:val="000000"/>
                <w:sz w:val="24"/>
                <w:szCs w:val="24"/>
              </w:rPr>
              <w:t xml:space="preserve"> demora en la entrega de fondos y la excesiva tramitología pueden desincentivar la participación de empresas y centros de investigación en proyectos de innovación.</w:t>
            </w:r>
          </w:p>
        </w:tc>
      </w:tr>
    </w:tbl>
    <w:p w14:paraId="3FF35DF3" w14:textId="10820665" w:rsidR="00922983" w:rsidRPr="00922983" w:rsidRDefault="00922983" w:rsidP="00922983">
      <w:pPr>
        <w:spacing w:before="100" w:beforeAutospacing="1" w:after="100" w:afterAutospacing="1" w:line="240" w:lineRule="auto"/>
        <w:rPr>
          <w:rFonts w:ascii="Arial" w:eastAsia="Times New Roman" w:hAnsi="Arial" w:cs="Arial"/>
          <w:sz w:val="24"/>
          <w:szCs w:val="24"/>
        </w:rPr>
      </w:pPr>
      <w:r w:rsidRPr="00922983">
        <w:rPr>
          <w:rFonts w:ascii="Arial" w:eastAsia="Times New Roman" w:hAnsi="Arial" w:cs="Arial"/>
          <w:sz w:val="24"/>
          <w:szCs w:val="24"/>
        </w:rPr>
        <w:t>A través de la matriz DOFA, se identificaron debilidades como la baja inversión en I+D y amenazas como la desconexión institucional; no obstante, también se reconocieron fortalezas como la existencia de redes académicas y oportunidades en la formulación de políticas regionalizadas.</w:t>
      </w:r>
    </w:p>
    <w:p w14:paraId="76680BB1" w14:textId="77777777" w:rsidR="00922983" w:rsidRPr="00291D9E" w:rsidRDefault="00922983" w:rsidP="00922983">
      <w:pPr>
        <w:spacing w:before="100" w:beforeAutospacing="1" w:after="100" w:afterAutospacing="1" w:line="240" w:lineRule="auto"/>
        <w:rPr>
          <w:rFonts w:ascii="Arial" w:eastAsia="Times New Roman" w:hAnsi="Arial" w:cs="Arial"/>
          <w:sz w:val="24"/>
          <w:szCs w:val="24"/>
        </w:rPr>
      </w:pPr>
      <w:r w:rsidRPr="00922983">
        <w:rPr>
          <w:rFonts w:ascii="Arial" w:eastAsia="Times New Roman" w:hAnsi="Arial" w:cs="Arial"/>
          <w:sz w:val="24"/>
          <w:szCs w:val="24"/>
        </w:rPr>
        <w:t>Estos hallazgos proporcionaron una visión clara de las brechas existentes en el sistema de innovación territorial colombiano, constituyendo un insumo fundamental para el diseño de estrategias de fortalecimiento regional.</w:t>
      </w:r>
    </w:p>
    <w:p w14:paraId="5B9ED1C6" w14:textId="77777777" w:rsidR="00922983" w:rsidRPr="00922983" w:rsidRDefault="00922983" w:rsidP="00922983">
      <w:pPr>
        <w:spacing w:before="100" w:beforeAutospacing="1" w:after="100" w:afterAutospacing="1" w:line="240" w:lineRule="auto"/>
        <w:rPr>
          <w:rFonts w:ascii="Arial" w:eastAsia="Times New Roman" w:hAnsi="Arial" w:cs="Arial"/>
          <w:sz w:val="24"/>
          <w:szCs w:val="24"/>
        </w:rPr>
      </w:pPr>
    </w:p>
    <w:p w14:paraId="7DDC251E" w14:textId="1264B551" w:rsidR="00291D9E" w:rsidRPr="00291D9E" w:rsidRDefault="00440A49" w:rsidP="00291D9E">
      <w:pPr>
        <w:spacing w:after="0" w:line="480" w:lineRule="auto"/>
        <w:jc w:val="both"/>
        <w:rPr>
          <w:rFonts w:ascii="Arial" w:hAnsi="Arial" w:cs="Arial"/>
          <w:b/>
          <w:sz w:val="24"/>
          <w:szCs w:val="24"/>
        </w:rPr>
      </w:pPr>
      <w:r w:rsidRPr="00291D9E">
        <w:rPr>
          <w:rFonts w:ascii="Arial" w:hAnsi="Arial" w:cs="Arial"/>
          <w:b/>
          <w:sz w:val="24"/>
          <w:szCs w:val="24"/>
        </w:rPr>
        <w:t>Conclusiones</w:t>
      </w:r>
    </w:p>
    <w:p w14:paraId="0188F50D" w14:textId="77777777" w:rsidR="00291D9E" w:rsidRPr="00291D9E" w:rsidRDefault="00291D9E" w:rsidP="00291D9E">
      <w:pPr>
        <w:rPr>
          <w:rFonts w:ascii="Arial" w:hAnsi="Arial" w:cs="Arial"/>
          <w:sz w:val="24"/>
          <w:szCs w:val="24"/>
        </w:rPr>
      </w:pPr>
      <w:r w:rsidRPr="00291D9E">
        <w:rPr>
          <w:rFonts w:ascii="Arial" w:hAnsi="Arial" w:cs="Arial"/>
          <w:sz w:val="24"/>
          <w:szCs w:val="24"/>
        </w:rPr>
        <w:t xml:space="preserve">Desarticulación entre actores del sistema de innovación en Colombia debido que, a pesar de los marcos normativos y esfuerzos institucionales para fomentar la ciencia, tecnología e innovación, persiste una desconexión significativa entre los actores clave </w:t>
      </w:r>
      <w:r w:rsidRPr="00291D9E">
        <w:rPr>
          <w:rFonts w:ascii="Arial" w:hAnsi="Arial" w:cs="Arial"/>
          <w:sz w:val="24"/>
          <w:szCs w:val="24"/>
        </w:rPr>
        <w:lastRenderedPageBreak/>
        <w:t>del sistema (gobierno, universidades, empresas y sociedad civil), lo cual limita la efectividad de las políticas y frena el desarrollo regional.</w:t>
      </w:r>
    </w:p>
    <w:p w14:paraId="7E2D9EA7" w14:textId="77777777" w:rsidR="00291D9E" w:rsidRPr="00291D9E" w:rsidRDefault="00291D9E" w:rsidP="00291D9E">
      <w:pPr>
        <w:rPr>
          <w:rFonts w:ascii="Arial" w:hAnsi="Arial" w:cs="Arial"/>
          <w:sz w:val="24"/>
          <w:szCs w:val="24"/>
        </w:rPr>
      </w:pPr>
      <w:r w:rsidRPr="00291D9E">
        <w:rPr>
          <w:rFonts w:ascii="Arial" w:hAnsi="Arial" w:cs="Arial"/>
          <w:sz w:val="24"/>
          <w:szCs w:val="24"/>
        </w:rPr>
        <w:t>Desigualdad regional en capacidades de innovación, se evidencian marcadas brechas entre las regiones del país, especialmente entre zonas urbanas y rurales. Mientras departamentos como Antioquia y Cundinamarca muestran avances en políticas e infraestructura, otros presentan rezagos importantes en inversión, talento humano y conectividad tecnológica.</w:t>
      </w:r>
    </w:p>
    <w:p w14:paraId="2E23958E" w14:textId="2D3B30BC" w:rsidR="00291D9E" w:rsidRPr="00291D9E" w:rsidRDefault="00291D9E" w:rsidP="00291D9E">
      <w:pPr>
        <w:rPr>
          <w:rFonts w:ascii="Arial" w:hAnsi="Arial" w:cs="Arial"/>
          <w:sz w:val="24"/>
          <w:szCs w:val="24"/>
        </w:rPr>
      </w:pPr>
      <w:r w:rsidRPr="00291D9E">
        <w:rPr>
          <w:rFonts w:ascii="Arial" w:hAnsi="Arial" w:cs="Arial"/>
          <w:sz w:val="24"/>
          <w:szCs w:val="24"/>
        </w:rPr>
        <w:t>Baja producción científica nacional en innovación territorial, el análisis bibliométrico reveló que Colombia</w:t>
      </w:r>
      <w:r w:rsidRPr="00291D9E">
        <w:rPr>
          <w:rFonts w:ascii="Arial" w:hAnsi="Arial" w:cs="Arial"/>
          <w:sz w:val="24"/>
          <w:szCs w:val="24"/>
        </w:rPr>
        <w:t xml:space="preserve"> </w:t>
      </w:r>
      <w:r w:rsidRPr="00291D9E">
        <w:rPr>
          <w:rFonts w:ascii="Arial" w:hAnsi="Arial" w:cs="Arial"/>
          <w:sz w:val="24"/>
          <w:szCs w:val="24"/>
        </w:rPr>
        <w:t>representa solo el 2% de la producción científica mundial en el tema, lo cual refleja un bajo posicionamiento y limitada influencia del país en la generación de conocimiento sobre sistemas regionales de innovación</w:t>
      </w:r>
    </w:p>
    <w:p w14:paraId="29513C3E" w14:textId="4560D04B" w:rsidR="00440A49" w:rsidRPr="00440A49" w:rsidRDefault="00440A49" w:rsidP="00291D9E">
      <w:pPr>
        <w:spacing w:after="0" w:line="480" w:lineRule="auto"/>
        <w:ind w:left="709" w:hanging="709"/>
        <w:jc w:val="both"/>
        <w:rPr>
          <w:rFonts w:ascii="Arial" w:hAnsi="Arial" w:cs="Arial"/>
          <w:b/>
          <w:sz w:val="24"/>
          <w:szCs w:val="24"/>
        </w:rPr>
      </w:pPr>
      <w:r w:rsidRPr="00440A49">
        <w:rPr>
          <w:rFonts w:ascii="Arial" w:hAnsi="Arial" w:cs="Arial"/>
          <w:b/>
          <w:sz w:val="24"/>
          <w:szCs w:val="24"/>
        </w:rPr>
        <w:t>Referencias</w:t>
      </w:r>
      <w:r w:rsidR="009D08F6">
        <w:rPr>
          <w:rFonts w:ascii="Arial" w:hAnsi="Arial" w:cs="Arial"/>
          <w:b/>
          <w:sz w:val="24"/>
          <w:szCs w:val="24"/>
        </w:rPr>
        <w:t xml:space="preserve"> bibliográficas </w:t>
      </w:r>
    </w:p>
    <w:sdt>
      <w:sdtPr>
        <w:rPr>
          <w:noProof/>
          <w:lang w:val="es-ES"/>
        </w:rPr>
        <w:id w:val="-573587230"/>
        <w:bibliography/>
      </w:sdtPr>
      <w:sdtEndPr/>
      <w:sdtContent>
        <w:p w14:paraId="5F37EC85" w14:textId="77777777" w:rsidR="001E7100" w:rsidRPr="009430BD" w:rsidRDefault="001E7100" w:rsidP="009430BD">
          <w:pPr>
            <w:rPr>
              <w:noProof/>
              <w:szCs w:val="24"/>
            </w:rPr>
          </w:pPr>
          <w:r w:rsidRPr="009430BD">
            <w:rPr>
              <w:noProof/>
              <w:lang w:val="es-ES"/>
            </w:rPr>
            <w:fldChar w:fldCharType="begin"/>
          </w:r>
          <w:r w:rsidRPr="009430BD">
            <w:rPr>
              <w:noProof/>
              <w:lang w:val="es-ES"/>
            </w:rPr>
            <w:instrText>BIBLIOGRAPHY</w:instrText>
          </w:r>
          <w:r w:rsidRPr="009430BD">
            <w:rPr>
              <w:noProof/>
              <w:lang w:val="es-ES"/>
            </w:rPr>
            <w:fldChar w:fldCharType="separate"/>
          </w:r>
          <w:r w:rsidRPr="009430BD">
            <w:rPr>
              <w:noProof/>
            </w:rPr>
            <w:t xml:space="preserve">Hernández Sampieri, R. (2014). </w:t>
          </w:r>
          <w:r w:rsidRPr="009430BD">
            <w:rPr>
              <w:i/>
              <w:iCs/>
              <w:noProof/>
            </w:rPr>
            <w:t>Metodologia de la investigacion .</w:t>
          </w:r>
          <w:r w:rsidRPr="009430BD">
            <w:rPr>
              <w:noProof/>
            </w:rPr>
            <w:t xml:space="preserve"> Ciudad de Mexico: MGH.</w:t>
          </w:r>
        </w:p>
        <w:p w14:paraId="7F798341" w14:textId="77777777" w:rsidR="001E7100" w:rsidRPr="009430BD" w:rsidRDefault="001E7100" w:rsidP="009430BD">
          <w:pPr>
            <w:rPr>
              <w:noProof/>
            </w:rPr>
          </w:pPr>
          <w:r w:rsidRPr="009430BD">
            <w:rPr>
              <w:noProof/>
            </w:rPr>
            <w:t xml:space="preserve">Ministerio de Tecnologías de la Información y las Comunicaciones . (2024). </w:t>
          </w:r>
          <w:r w:rsidRPr="009430BD">
            <w:rPr>
              <w:i/>
              <w:iCs/>
              <w:noProof/>
            </w:rPr>
            <w:t>Índice de Brecha Digital 2023.</w:t>
          </w:r>
          <w:r w:rsidRPr="009430BD">
            <w:rPr>
              <w:noProof/>
            </w:rPr>
            <w:t xml:space="preserve"> Bogota: Ministerio de Tecnologías de la Información y las Comunicaciones.</w:t>
          </w:r>
        </w:p>
        <w:p w14:paraId="73AD45C1" w14:textId="77777777" w:rsidR="001E7100" w:rsidRPr="009430BD" w:rsidRDefault="001E7100" w:rsidP="009430BD">
          <w:pPr>
            <w:rPr>
              <w:noProof/>
            </w:rPr>
          </w:pPr>
          <w:r w:rsidRPr="009430BD">
            <w:rPr>
              <w:noProof/>
            </w:rPr>
            <w:t xml:space="preserve">Oquendo Gómez, A. F., &amp; Acevedo Álvarez, C. A. (2012). SISTEMA DE INNOVACIÓN COLOMBIANO: FUNDAMENTOS, DINÁMICAS Y AVATARES. </w:t>
          </w:r>
          <w:r w:rsidRPr="009430BD">
            <w:rPr>
              <w:i/>
              <w:iCs/>
              <w:noProof/>
            </w:rPr>
            <w:t xml:space="preserve">Revista Trilogía No 6 </w:t>
          </w:r>
          <w:r w:rsidRPr="009430BD">
            <w:rPr>
              <w:noProof/>
            </w:rPr>
            <w:t>, 105-120.</w:t>
          </w:r>
        </w:p>
        <w:p w14:paraId="5959E1BE" w14:textId="77777777" w:rsidR="001E7100" w:rsidRPr="009430BD" w:rsidRDefault="001E7100" w:rsidP="009430BD">
          <w:pPr>
            <w:rPr>
              <w:noProof/>
            </w:rPr>
          </w:pPr>
          <w:r w:rsidRPr="009430BD">
            <w:rPr>
              <w:noProof/>
            </w:rPr>
            <w:t xml:space="preserve">Araya Umaña, G., Li-Bonilla, F., &amp; Torres-Vindas, J. (2021). La Quinta Hélice Sistémica [QHS] para la innovación y el desarrollo [I+D] en América Latina. </w:t>
          </w:r>
          <w:r w:rsidRPr="009430BD">
            <w:rPr>
              <w:i/>
              <w:iCs/>
              <w:noProof/>
            </w:rPr>
            <w:t>Revista Centroamericana de Administración Pública</w:t>
          </w:r>
          <w:r w:rsidRPr="009430BD">
            <w:rPr>
              <w:noProof/>
            </w:rPr>
            <w:t>, 81.</w:t>
          </w:r>
        </w:p>
        <w:p w14:paraId="68360DC3" w14:textId="77777777" w:rsidR="001E7100" w:rsidRPr="009430BD" w:rsidRDefault="001E7100" w:rsidP="009430BD">
          <w:pPr>
            <w:rPr>
              <w:noProof/>
            </w:rPr>
          </w:pPr>
          <w:r w:rsidRPr="009430BD">
            <w:rPr>
              <w:noProof/>
            </w:rPr>
            <w:t xml:space="preserve">Ardanuy, J. (2012). Breve introducción a la bibliometría. </w:t>
          </w:r>
          <w:r w:rsidRPr="009430BD">
            <w:rPr>
              <w:i/>
              <w:iCs/>
              <w:noProof/>
            </w:rPr>
            <w:t>La base de datos scopus y otros e-recursos del CBUES como instrumento de gestión de la actividad investigadora</w:t>
          </w:r>
          <w:r w:rsidRPr="009430BD">
            <w:rPr>
              <w:noProof/>
            </w:rPr>
            <w:t>, 1. Obtenido de https://diposit.ub.edu/dspace/bitstream/2445/30962/1/breve%20introduccion%20bibliometria.pdf</w:t>
          </w:r>
        </w:p>
        <w:p w14:paraId="7CBAE693" w14:textId="77777777" w:rsidR="001E7100" w:rsidRPr="009430BD" w:rsidRDefault="001E7100" w:rsidP="009430BD">
          <w:pPr>
            <w:rPr>
              <w:noProof/>
            </w:rPr>
          </w:pPr>
          <w:r w:rsidRPr="009430BD">
            <w:rPr>
              <w:noProof/>
            </w:rPr>
            <w:t xml:space="preserve">Ariza Rojas , C. A. (2020). </w:t>
          </w:r>
          <w:r w:rsidRPr="009430BD">
            <w:rPr>
              <w:i/>
              <w:iCs/>
              <w:noProof/>
            </w:rPr>
            <w:t>Analisis de la artiulacion de los actores que conformasn los ecosistemas regionales de innovacion en Santander.</w:t>
          </w:r>
          <w:r w:rsidRPr="009430BD">
            <w:rPr>
              <w:noProof/>
            </w:rPr>
            <w:t xml:space="preserve"> Bucaramanga : Universidad Potificia Bolivariana .</w:t>
          </w:r>
        </w:p>
        <w:p w14:paraId="292C9575" w14:textId="77777777" w:rsidR="001E7100" w:rsidRPr="009430BD" w:rsidRDefault="001E7100" w:rsidP="009430BD">
          <w:pPr>
            <w:rPr>
              <w:noProof/>
            </w:rPr>
          </w:pPr>
          <w:r w:rsidRPr="009430BD">
            <w:rPr>
              <w:noProof/>
            </w:rPr>
            <w:t xml:space="preserve">Banco interamericano de Desarrollo . (2011). </w:t>
          </w:r>
          <w:r w:rsidRPr="009430BD">
            <w:rPr>
              <w:i/>
              <w:iCs/>
              <w:noProof/>
            </w:rPr>
            <w:t>Los sistemas regionales de innovación en América Latina .</w:t>
          </w:r>
          <w:r w:rsidRPr="009430BD">
            <w:rPr>
              <w:noProof/>
            </w:rPr>
            <w:t xml:space="preserve"> Washintgon : Banco interamericano de Desarrollo .</w:t>
          </w:r>
        </w:p>
        <w:p w14:paraId="2E6E6D51" w14:textId="77777777" w:rsidR="001E7100" w:rsidRPr="009430BD" w:rsidRDefault="001E7100" w:rsidP="009430BD">
          <w:pPr>
            <w:rPr>
              <w:noProof/>
            </w:rPr>
          </w:pPr>
          <w:r w:rsidRPr="009430BD">
            <w:rPr>
              <w:noProof/>
            </w:rPr>
            <w:t xml:space="preserve">Beatriz Otero, M. O. (2009). LA PERSPECTIVA DEL SISTEMA NACIONAL/REGIONAL DE INNOVACIÓN: BALANCE Y RECEPCIÓN EN ESPAÑA. </w:t>
          </w:r>
          <w:r w:rsidRPr="009430BD">
            <w:rPr>
              <w:i/>
              <w:iCs/>
              <w:noProof/>
            </w:rPr>
            <w:t>ARBOR Ciencia, Pensamiento y Cultura</w:t>
          </w:r>
          <w:r w:rsidRPr="009430BD">
            <w:rPr>
              <w:noProof/>
            </w:rPr>
            <w:t>, 767-779.</w:t>
          </w:r>
        </w:p>
        <w:p w14:paraId="5D647EA9" w14:textId="77777777" w:rsidR="001E7100" w:rsidRPr="009430BD" w:rsidRDefault="001E7100" w:rsidP="009430BD">
          <w:pPr>
            <w:rPr>
              <w:noProof/>
            </w:rPr>
          </w:pPr>
          <w:r w:rsidRPr="009430BD">
            <w:rPr>
              <w:noProof/>
            </w:rPr>
            <w:t xml:space="preserve">Bonilla, J. M. (2024). La crisis humanitaria en el Catatumbo ya deja 60 muertos, más de 18.000 desplazados y 46.000 niños sin clases, según la ONU. </w:t>
          </w:r>
          <w:r w:rsidRPr="009430BD">
            <w:rPr>
              <w:i/>
              <w:iCs/>
              <w:noProof/>
            </w:rPr>
            <w:t>EL PAIS</w:t>
          </w:r>
          <w:r w:rsidRPr="009430BD">
            <w:rPr>
              <w:noProof/>
            </w:rPr>
            <w:t>.</w:t>
          </w:r>
        </w:p>
        <w:p w14:paraId="735C091C" w14:textId="77777777" w:rsidR="001E7100" w:rsidRPr="009430BD" w:rsidRDefault="001E7100" w:rsidP="009430BD">
          <w:pPr>
            <w:rPr>
              <w:noProof/>
            </w:rPr>
          </w:pPr>
          <w:r w:rsidRPr="009430BD">
            <w:rPr>
              <w:noProof/>
            </w:rPr>
            <w:t xml:space="preserve">Bonilla, J. M. (2025). Ocho ataques simultáneos de las disidencias asolan al Cauca. </w:t>
          </w:r>
          <w:r w:rsidRPr="009430BD">
            <w:rPr>
              <w:i/>
              <w:iCs/>
              <w:noProof/>
            </w:rPr>
            <w:t xml:space="preserve">EL PAIS </w:t>
          </w:r>
          <w:r w:rsidRPr="009430BD">
            <w:rPr>
              <w:noProof/>
            </w:rPr>
            <w:t>.</w:t>
          </w:r>
        </w:p>
        <w:p w14:paraId="2CD670B5" w14:textId="77777777" w:rsidR="001E7100" w:rsidRPr="009430BD" w:rsidRDefault="001E7100" w:rsidP="009430BD">
          <w:pPr>
            <w:rPr>
              <w:noProof/>
            </w:rPr>
          </w:pPr>
          <w:r w:rsidRPr="009430BD">
            <w:rPr>
              <w:noProof/>
            </w:rPr>
            <w:lastRenderedPageBreak/>
            <w:t xml:space="preserve">BUSTOS VELASQUEZ, F. A. (2016). DEBATES Y CONTROVERSIAS EN TORNO A LAS POLÍTICAS DE CIENCIA, TECNOLOGÍA E INNOVACIÓN en el sistema de innovacion en Chile. </w:t>
          </w:r>
          <w:r w:rsidRPr="009430BD">
            <w:rPr>
              <w:i/>
              <w:iCs/>
              <w:noProof/>
            </w:rPr>
            <w:t>FRONTERAS – Revista de Ciencias Sociales y Humanidades</w:t>
          </w:r>
          <w:r w:rsidRPr="009430BD">
            <w:rPr>
              <w:noProof/>
            </w:rPr>
            <w:t>, 85-107.</w:t>
          </w:r>
        </w:p>
        <w:p w14:paraId="39AE9B35" w14:textId="77777777" w:rsidR="001E7100" w:rsidRPr="009430BD" w:rsidRDefault="001E7100" w:rsidP="009430BD">
          <w:pPr>
            <w:rPr>
              <w:noProof/>
            </w:rPr>
          </w:pPr>
          <w:r w:rsidRPr="009430BD">
            <w:rPr>
              <w:noProof/>
            </w:rPr>
            <w:t xml:space="preserve">Cesár Alejandro, A. R. (2020). </w:t>
          </w:r>
          <w:r w:rsidRPr="009430BD">
            <w:rPr>
              <w:i/>
              <w:iCs/>
              <w:noProof/>
            </w:rPr>
            <w:t>Analisis de la articulacion de los actores que conforman el ecosistema regional de innovacion en Santander.</w:t>
          </w:r>
          <w:r w:rsidRPr="009430BD">
            <w:rPr>
              <w:noProof/>
            </w:rPr>
            <w:t xml:space="preserve"> Bucaramanga : Universidad Pontificia Bolivariana.</w:t>
          </w:r>
        </w:p>
        <w:p w14:paraId="7A8516B8" w14:textId="77777777" w:rsidR="001E7100" w:rsidRPr="009430BD" w:rsidRDefault="001E7100" w:rsidP="009430BD">
          <w:pPr>
            <w:rPr>
              <w:noProof/>
            </w:rPr>
          </w:pPr>
          <w:r w:rsidRPr="009430BD">
            <w:rPr>
              <w:noProof/>
            </w:rPr>
            <w:t xml:space="preserve">Clúster de Proteccion Colombia . (204). </w:t>
          </w:r>
          <w:r w:rsidRPr="009430BD">
            <w:rPr>
              <w:i/>
              <w:iCs/>
              <w:noProof/>
            </w:rPr>
            <w:t>Análisis de las tendencias sobre riesgos de protección relacionados con el conflicto armado y desastres naturales .</w:t>
          </w:r>
          <w:r w:rsidRPr="009430BD">
            <w:rPr>
              <w:noProof/>
            </w:rPr>
            <w:t xml:space="preserve"> </w:t>
          </w:r>
        </w:p>
        <w:p w14:paraId="5EC58235" w14:textId="77777777" w:rsidR="001E7100" w:rsidRPr="009430BD" w:rsidRDefault="001E7100" w:rsidP="009430BD">
          <w:pPr>
            <w:rPr>
              <w:noProof/>
            </w:rPr>
          </w:pPr>
          <w:r w:rsidRPr="009430BD">
            <w:rPr>
              <w:noProof/>
            </w:rPr>
            <w:t xml:space="preserve">Concejo Gremial Nacional. (2024). </w:t>
          </w:r>
          <w:r w:rsidRPr="009430BD">
            <w:rPr>
              <w:i/>
              <w:iCs/>
              <w:noProof/>
            </w:rPr>
            <w:t>Panorama de seguridad en Colombia: Tendencias recientes de los principales indicadores de seguridad pública y seguridad ciudadana.</w:t>
          </w:r>
          <w:r w:rsidRPr="009430BD">
            <w:rPr>
              <w:noProof/>
            </w:rPr>
            <w:t xml:space="preserve"> Bogota : Concejo Gremial Nacional.</w:t>
          </w:r>
        </w:p>
        <w:p w14:paraId="5A2124B6" w14:textId="77777777" w:rsidR="001E7100" w:rsidRPr="009430BD" w:rsidRDefault="001E7100" w:rsidP="009430BD">
          <w:pPr>
            <w:rPr>
              <w:noProof/>
            </w:rPr>
          </w:pPr>
          <w:r w:rsidRPr="009430BD">
            <w:rPr>
              <w:noProof/>
            </w:rPr>
            <w:t xml:space="preserve">Coque, J., González-Torres, P., López-Mielgo, N., &amp; Vázquez, D. (2014). Análisis de un sistema local de innovación: Agentes y red de relaciones . </w:t>
          </w:r>
          <w:r w:rsidRPr="009430BD">
            <w:rPr>
              <w:i/>
              <w:iCs/>
              <w:noProof/>
            </w:rPr>
            <w:t xml:space="preserve">dyna </w:t>
          </w:r>
          <w:r w:rsidRPr="009430BD">
            <w:rPr>
              <w:noProof/>
            </w:rPr>
            <w:t>, 209-216.</w:t>
          </w:r>
        </w:p>
        <w:p w14:paraId="448A44D1" w14:textId="77777777" w:rsidR="001E7100" w:rsidRPr="009430BD" w:rsidRDefault="001E7100" w:rsidP="009430BD">
          <w:pPr>
            <w:rPr>
              <w:noProof/>
            </w:rPr>
          </w:pPr>
          <w:r w:rsidRPr="009430BD">
            <w:rPr>
              <w:noProof/>
            </w:rPr>
            <w:t xml:space="preserve">Cote-Peña, C. M.-A.-M.-P. (2016). </w:t>
          </w:r>
          <w:r w:rsidRPr="009430BD">
            <w:rPr>
              <w:noProof/>
              <w:lang w:val="en-US"/>
            </w:rPr>
            <w:t xml:space="preserve">Benchmarking between regional innovation systems: the case of Santander and Antioquia, Colombia. </w:t>
          </w:r>
          <w:r w:rsidRPr="009430BD">
            <w:rPr>
              <w:i/>
              <w:iCs/>
              <w:noProof/>
            </w:rPr>
            <w:t xml:space="preserve">Revista de investigacion, Desarrollo e Innovacion </w:t>
          </w:r>
          <w:r w:rsidRPr="009430BD">
            <w:rPr>
              <w:noProof/>
            </w:rPr>
            <w:t>, 11-24.</w:t>
          </w:r>
        </w:p>
        <w:p w14:paraId="077ED295" w14:textId="77777777" w:rsidR="001E7100" w:rsidRPr="009430BD" w:rsidRDefault="001E7100" w:rsidP="009430BD">
          <w:pPr>
            <w:rPr>
              <w:noProof/>
            </w:rPr>
          </w:pPr>
          <w:r w:rsidRPr="009430BD">
            <w:rPr>
              <w:noProof/>
            </w:rPr>
            <w:t xml:space="preserve">DANE . (2024). </w:t>
          </w:r>
          <w:r w:rsidRPr="009430BD">
            <w:rPr>
              <w:i/>
              <w:iCs/>
              <w:noProof/>
            </w:rPr>
            <w:t>Encuesta de Desarrollo e Innovación Tecnológica en los Sectores de Servicios y Comercio - EDITS VIII - 2020-2021.</w:t>
          </w:r>
          <w:r w:rsidRPr="009430BD">
            <w:rPr>
              <w:noProof/>
            </w:rPr>
            <w:t xml:space="preserve"> Bogotá, D.C: Dirección de Metodología y Producción Estadística - DIMPE.</w:t>
          </w:r>
        </w:p>
        <w:p w14:paraId="27614AA3" w14:textId="77777777" w:rsidR="001E7100" w:rsidRPr="009430BD" w:rsidRDefault="001E7100" w:rsidP="009430BD">
          <w:pPr>
            <w:rPr>
              <w:noProof/>
            </w:rPr>
          </w:pPr>
          <w:r w:rsidRPr="009430BD">
            <w:rPr>
              <w:noProof/>
            </w:rPr>
            <w:t xml:space="preserve">Dirección de Gobierno, Derechos Humanos y Paz. (2023). </w:t>
          </w:r>
          <w:r w:rsidRPr="009430BD">
            <w:rPr>
              <w:i/>
              <w:iCs/>
              <w:noProof/>
            </w:rPr>
            <w:t>Índice de incidencia del conflicto armado IICA.</w:t>
          </w:r>
          <w:r w:rsidRPr="009430BD">
            <w:rPr>
              <w:noProof/>
            </w:rPr>
            <w:t xml:space="preserve"> Bogota: Dirección de Gobierno, Derechos Humanos y Paz.</w:t>
          </w:r>
        </w:p>
        <w:p w14:paraId="5A792502" w14:textId="77777777" w:rsidR="001E7100" w:rsidRPr="009430BD" w:rsidRDefault="001E7100" w:rsidP="009430BD">
          <w:pPr>
            <w:rPr>
              <w:noProof/>
            </w:rPr>
          </w:pPr>
          <w:r w:rsidRPr="009430BD">
            <w:rPr>
              <w:noProof/>
            </w:rPr>
            <w:t xml:space="preserve">DNP, Departamento Nacional de Planeaccion . (2021). </w:t>
          </w:r>
          <w:r w:rsidRPr="009430BD">
            <w:rPr>
              <w:i/>
              <w:iCs/>
              <w:noProof/>
            </w:rPr>
            <w:t>Índice Departamental de Innovación de Colombia 2021.</w:t>
          </w:r>
          <w:r w:rsidRPr="009430BD">
            <w:rPr>
              <w:noProof/>
            </w:rPr>
            <w:t xml:space="preserve"> Bogotá, D.C.</w:t>
          </w:r>
        </w:p>
        <w:p w14:paraId="748D96BD" w14:textId="77777777" w:rsidR="001E7100" w:rsidRPr="009430BD" w:rsidRDefault="001E7100" w:rsidP="009430BD">
          <w:pPr>
            <w:rPr>
              <w:noProof/>
            </w:rPr>
          </w:pPr>
          <w:r w:rsidRPr="009430BD">
            <w:rPr>
              <w:noProof/>
            </w:rPr>
            <w:t xml:space="preserve">Duarte, M. A. (2025). Informe de seguridad de la Federación Nacional de Departamentos evidencia el fortalecimiento del Eln. </w:t>
          </w:r>
          <w:r w:rsidRPr="009430BD">
            <w:rPr>
              <w:i/>
              <w:iCs/>
              <w:noProof/>
            </w:rPr>
            <w:t>EL TIEMPO</w:t>
          </w:r>
          <w:r w:rsidRPr="009430BD">
            <w:rPr>
              <w:noProof/>
            </w:rPr>
            <w:t>.</w:t>
          </w:r>
        </w:p>
        <w:p w14:paraId="76DCC8C4" w14:textId="77777777" w:rsidR="001E7100" w:rsidRPr="009430BD" w:rsidRDefault="001E7100" w:rsidP="009430BD">
          <w:pPr>
            <w:rPr>
              <w:noProof/>
            </w:rPr>
          </w:pPr>
          <w:r w:rsidRPr="009430BD">
            <w:rPr>
              <w:noProof/>
            </w:rPr>
            <w:t xml:space="preserve">El servier. (2023). </w:t>
          </w:r>
          <w:r w:rsidRPr="009430BD">
            <w:rPr>
              <w:i/>
              <w:iCs/>
              <w:noProof/>
            </w:rPr>
            <w:t>elservier</w:t>
          </w:r>
          <w:r w:rsidRPr="009430BD">
            <w:rPr>
              <w:noProof/>
            </w:rPr>
            <w:t>. Obtenido de https://www.elsevier.com/es-es/products/scopus/content</w:t>
          </w:r>
        </w:p>
        <w:p w14:paraId="0F0F0E01" w14:textId="77777777" w:rsidR="001E7100" w:rsidRPr="009430BD" w:rsidRDefault="001E7100" w:rsidP="009430BD">
          <w:pPr>
            <w:rPr>
              <w:noProof/>
            </w:rPr>
          </w:pPr>
          <w:r w:rsidRPr="009430BD">
            <w:rPr>
              <w:noProof/>
              <w:lang w:val="en-US"/>
            </w:rPr>
            <w:t xml:space="preserve">Farinha, L., Ferreira, J. J., Ranga, M., &amp; Santo, ,. (2023). Regional Helix Ecosystems and Economic Growt. </w:t>
          </w:r>
          <w:r w:rsidRPr="009430BD">
            <w:rPr>
              <w:i/>
              <w:iCs/>
              <w:noProof/>
            </w:rPr>
            <w:t>University Of Beira Interior</w:t>
          </w:r>
          <w:r w:rsidRPr="009430BD">
            <w:rPr>
              <w:noProof/>
            </w:rPr>
            <w:t>, 1-35.</w:t>
          </w:r>
        </w:p>
        <w:p w14:paraId="4F98E726" w14:textId="77777777" w:rsidR="001E7100" w:rsidRPr="009430BD" w:rsidRDefault="001E7100" w:rsidP="009430BD">
          <w:pPr>
            <w:rPr>
              <w:noProof/>
            </w:rPr>
          </w:pPr>
          <w:r w:rsidRPr="009430BD">
            <w:rPr>
              <w:noProof/>
            </w:rPr>
            <w:t xml:space="preserve">Fiscalia General de La Nacion . (2023). </w:t>
          </w:r>
          <w:r w:rsidRPr="009430BD">
            <w:rPr>
              <w:i/>
              <w:iCs/>
              <w:noProof/>
            </w:rPr>
            <w:t>Informe público presentado por la Fiscalía General de la Nación en cumplimiento a lo ordenado por la Corte Constitucional en el numeral 19 de la Sentencia SU 546 de 2023.</w:t>
          </w:r>
          <w:r w:rsidRPr="009430BD">
            <w:rPr>
              <w:noProof/>
            </w:rPr>
            <w:t xml:space="preserve"> Bogota : Fiscalia General de La Nacion .</w:t>
          </w:r>
        </w:p>
        <w:p w14:paraId="37E86BC8" w14:textId="77777777" w:rsidR="001E7100" w:rsidRPr="009430BD" w:rsidRDefault="001E7100" w:rsidP="009430BD">
          <w:pPr>
            <w:rPr>
              <w:noProof/>
            </w:rPr>
          </w:pPr>
          <w:r w:rsidRPr="009430BD">
            <w:rPr>
              <w:noProof/>
            </w:rPr>
            <w:t xml:space="preserve">Fundacion ideas para la paz . (2024). </w:t>
          </w:r>
          <w:r w:rsidRPr="009430BD">
            <w:rPr>
              <w:i/>
              <w:iCs/>
              <w:noProof/>
            </w:rPr>
            <w:t>Informe preliminar sobre el estado de la implementación del Acuerdo de Paz en la subregión PDET Sur de Córdoba .</w:t>
          </w:r>
          <w:r w:rsidRPr="009430BD">
            <w:rPr>
              <w:noProof/>
            </w:rPr>
            <w:t xml:space="preserve"> </w:t>
          </w:r>
        </w:p>
        <w:p w14:paraId="6A7B9C5D" w14:textId="77777777" w:rsidR="001E7100" w:rsidRPr="009430BD" w:rsidRDefault="001E7100" w:rsidP="009430BD">
          <w:pPr>
            <w:rPr>
              <w:noProof/>
            </w:rPr>
          </w:pPr>
          <w:r w:rsidRPr="009430BD">
            <w:rPr>
              <w:noProof/>
            </w:rPr>
            <w:lastRenderedPageBreak/>
            <w:t xml:space="preserve">Garrido Rubiano, M. F., Martínez Medrano, J. C., Rendón Medel, R., &amp; Granados Carvajal, R. E. (2016). Los sistemas de innovacin y su impacto en el desarrollo territorial . </w:t>
          </w:r>
          <w:r w:rsidRPr="009430BD">
            <w:rPr>
              <w:i/>
              <w:iCs/>
              <w:noProof/>
            </w:rPr>
            <w:t xml:space="preserve">reviste mexicana de ciencias agricolas </w:t>
          </w:r>
          <w:r w:rsidRPr="009430BD">
            <w:rPr>
              <w:noProof/>
            </w:rPr>
            <w:t>, 7-15.</w:t>
          </w:r>
        </w:p>
        <w:p w14:paraId="232A8B48" w14:textId="77777777" w:rsidR="001E7100" w:rsidRPr="009430BD" w:rsidRDefault="001E7100" w:rsidP="009430BD">
          <w:pPr>
            <w:rPr>
              <w:noProof/>
            </w:rPr>
          </w:pPr>
          <w:r w:rsidRPr="009430BD">
            <w:rPr>
              <w:noProof/>
            </w:rPr>
            <w:lastRenderedPageBreak/>
            <w:t xml:space="preserve">Gladys Patricia Guevara Alban, A. E. (2020). Metodologías de investigación educativa (descriptivas, experimentales, participativas, y de investigación-acción). </w:t>
          </w:r>
          <w:r w:rsidRPr="009430BD">
            <w:rPr>
              <w:i/>
              <w:iCs/>
              <w:noProof/>
            </w:rPr>
            <w:t>recimundo</w:t>
          </w:r>
          <w:r w:rsidRPr="009430BD">
            <w:rPr>
              <w:noProof/>
            </w:rPr>
            <w:t>, 163-173.</w:t>
          </w:r>
        </w:p>
        <w:p w14:paraId="322E076C" w14:textId="77777777" w:rsidR="001E7100" w:rsidRPr="009430BD" w:rsidRDefault="001E7100" w:rsidP="009430BD">
          <w:pPr>
            <w:rPr>
              <w:noProof/>
            </w:rPr>
          </w:pPr>
          <w:r w:rsidRPr="009430BD">
            <w:rPr>
              <w:noProof/>
            </w:rPr>
            <w:t xml:space="preserve">Goinheix, S. (2022). El análisis de redes sociales aplicado a los estudios socio territoriales. </w:t>
          </w:r>
          <w:r w:rsidRPr="009430BD">
            <w:rPr>
              <w:i/>
              <w:iCs/>
              <w:noProof/>
            </w:rPr>
            <w:t>Revista del Área de Estudios Urbanos, núm. 19, 2023</w:t>
          </w:r>
          <w:r w:rsidRPr="009430BD">
            <w:rPr>
              <w:noProof/>
            </w:rPr>
            <w:t>.</w:t>
          </w:r>
        </w:p>
        <w:p w14:paraId="2ADF91E7" w14:textId="77777777" w:rsidR="001E7100" w:rsidRPr="009430BD" w:rsidRDefault="001E7100" w:rsidP="009430BD">
          <w:pPr>
            <w:rPr>
              <w:noProof/>
            </w:rPr>
          </w:pPr>
          <w:r w:rsidRPr="009430BD">
            <w:rPr>
              <w:noProof/>
            </w:rPr>
            <w:t xml:space="preserve">Guevara Alban, G., Verdesoto Arguello, A., &amp; Castro Molina, N. (2020). Metodologías de investigación educativa (descriptivas, experimentales, participativas, y de investigación-acción). </w:t>
          </w:r>
          <w:r w:rsidRPr="009430BD">
            <w:rPr>
              <w:i/>
              <w:iCs/>
              <w:noProof/>
            </w:rPr>
            <w:t>revista cientifica mundo de la investigacion y conocimiento</w:t>
          </w:r>
          <w:r w:rsidRPr="009430BD">
            <w:rPr>
              <w:noProof/>
            </w:rPr>
            <w:t>, 163-173.</w:t>
          </w:r>
        </w:p>
        <w:p w14:paraId="5DED1253" w14:textId="77777777" w:rsidR="001E7100" w:rsidRPr="009430BD" w:rsidRDefault="001E7100" w:rsidP="009430BD">
          <w:pPr>
            <w:rPr>
              <w:noProof/>
            </w:rPr>
          </w:pPr>
          <w:r w:rsidRPr="009430BD">
            <w:rPr>
              <w:noProof/>
              <w:lang w:val="en-US"/>
            </w:rPr>
            <w:t xml:space="preserve">Human Rigths Watch. (2024). </w:t>
          </w:r>
          <w:r w:rsidRPr="009430BD">
            <w:rPr>
              <w:i/>
              <w:iCs/>
              <w:noProof/>
              <w:lang w:val="en-US"/>
            </w:rPr>
            <w:t>Human Rigths Watch</w:t>
          </w:r>
          <w:r w:rsidRPr="009430BD">
            <w:rPr>
              <w:noProof/>
              <w:lang w:val="en-US"/>
            </w:rPr>
            <w:t xml:space="preserve">. </w:t>
          </w:r>
          <w:r w:rsidRPr="009430BD">
            <w:rPr>
              <w:noProof/>
            </w:rPr>
            <w:t>Obtenido de https://www.hrw.org/es/world-report/2024/country-chapters/colombia</w:t>
          </w:r>
        </w:p>
        <w:p w14:paraId="6AE4D7F6" w14:textId="77777777" w:rsidR="001E7100" w:rsidRPr="009430BD" w:rsidRDefault="001E7100" w:rsidP="009430BD">
          <w:pPr>
            <w:rPr>
              <w:noProof/>
            </w:rPr>
          </w:pPr>
          <w:r w:rsidRPr="009430BD">
            <w:rPr>
              <w:noProof/>
            </w:rPr>
            <w:t xml:space="preserve">Marques, F. (2020). La geografía de la innovación. </w:t>
          </w:r>
          <w:r w:rsidRPr="009430BD">
            <w:rPr>
              <w:i/>
              <w:iCs/>
              <w:noProof/>
            </w:rPr>
            <w:t>Revista Pesquisa Fapesp</w:t>
          </w:r>
          <w:r w:rsidRPr="009430BD">
            <w:rPr>
              <w:noProof/>
            </w:rPr>
            <w:t>.</w:t>
          </w:r>
        </w:p>
        <w:p w14:paraId="683DE217" w14:textId="77777777" w:rsidR="001E7100" w:rsidRPr="009430BD" w:rsidRDefault="001E7100" w:rsidP="009430BD">
          <w:pPr>
            <w:rPr>
              <w:noProof/>
            </w:rPr>
          </w:pPr>
          <w:r w:rsidRPr="009430BD">
            <w:rPr>
              <w:noProof/>
            </w:rPr>
            <w:t xml:space="preserve">Martínez Celorrio, X. (2017). La innovacion social:orígenes, tendencias y ambivalencias . </w:t>
          </w:r>
          <w:r w:rsidRPr="009430BD">
            <w:rPr>
              <w:i/>
              <w:iCs/>
              <w:noProof/>
            </w:rPr>
            <w:t xml:space="preserve">repositorio Universidad de Barcelona </w:t>
          </w:r>
          <w:r w:rsidRPr="009430BD">
            <w:rPr>
              <w:noProof/>
            </w:rPr>
            <w:t>, 61-88.</w:t>
          </w:r>
        </w:p>
        <w:p w14:paraId="29177196" w14:textId="77777777" w:rsidR="001E7100" w:rsidRPr="009430BD" w:rsidRDefault="001E7100" w:rsidP="009430BD">
          <w:pPr>
            <w:rPr>
              <w:noProof/>
            </w:rPr>
          </w:pPr>
          <w:r w:rsidRPr="009430BD">
            <w:rPr>
              <w:noProof/>
            </w:rPr>
            <w:t xml:space="preserve">Ministerio de ciencia, tecnologia e innovacion . (s.f.). </w:t>
          </w:r>
          <w:r w:rsidRPr="009430BD">
            <w:rPr>
              <w:i/>
              <w:iCs/>
              <w:noProof/>
            </w:rPr>
            <w:t>Plan de convocatorias ACTeI 2023-2024</w:t>
          </w:r>
          <w:r w:rsidRPr="009430BD">
            <w:rPr>
              <w:noProof/>
            </w:rPr>
            <w:t>. Obtenido de https://minciencias.gov.co/plan-convocatorias-actei-2023-2024?page=2</w:t>
          </w:r>
        </w:p>
        <w:p w14:paraId="036D4A2F" w14:textId="77777777" w:rsidR="001E7100" w:rsidRPr="009430BD" w:rsidRDefault="001E7100" w:rsidP="009430BD">
          <w:pPr>
            <w:rPr>
              <w:noProof/>
            </w:rPr>
          </w:pPr>
          <w:r w:rsidRPr="009430BD">
            <w:rPr>
              <w:noProof/>
            </w:rPr>
            <w:t xml:space="preserve">Ministerio de ciencia, tecnologia e innovación. (s.f.). </w:t>
          </w:r>
          <w:r w:rsidRPr="009430BD">
            <w:rPr>
              <w:i/>
              <w:iCs/>
              <w:noProof/>
            </w:rPr>
            <w:t>Minciencias</w:t>
          </w:r>
          <w:r w:rsidRPr="009430BD">
            <w:rPr>
              <w:noProof/>
            </w:rPr>
            <w:t>. Obtenido de https://legadoweb.minciencias.gov.co/faq/qu-es-el-sistema-nacional-de-innovacion</w:t>
          </w:r>
        </w:p>
        <w:p w14:paraId="12C39384" w14:textId="77777777" w:rsidR="001E7100" w:rsidRPr="009430BD" w:rsidRDefault="001E7100" w:rsidP="009430BD">
          <w:pPr>
            <w:rPr>
              <w:noProof/>
            </w:rPr>
          </w:pPr>
          <w:r w:rsidRPr="009430BD">
            <w:rPr>
              <w:noProof/>
            </w:rPr>
            <w:lastRenderedPageBreak/>
            <w:t xml:space="preserve">Ministerio de Comercio, Industria y Turismo . (08 de 03 de 2024). </w:t>
          </w:r>
          <w:r w:rsidRPr="009430BD">
            <w:rPr>
              <w:i/>
              <w:iCs/>
              <w:noProof/>
            </w:rPr>
            <w:t>Negocios con enfoque ambiental</w:t>
          </w:r>
          <w:r w:rsidRPr="009430BD">
            <w:rPr>
              <w:noProof/>
            </w:rPr>
            <w:t>. Obtenido de https://www.mincit.gov.co/prensa/noticias/industria/colombia-cerro-2023-con-historico-empresas-activas</w:t>
          </w:r>
        </w:p>
        <w:p w14:paraId="73FEE965" w14:textId="77777777" w:rsidR="001E7100" w:rsidRPr="009430BD" w:rsidRDefault="001E7100" w:rsidP="009430BD">
          <w:pPr>
            <w:rPr>
              <w:noProof/>
            </w:rPr>
          </w:pPr>
          <w:r w:rsidRPr="009430BD">
            <w:rPr>
              <w:noProof/>
            </w:rPr>
            <w:t xml:space="preserve">Ministerio de Hacienda. (2022). </w:t>
          </w:r>
          <w:r w:rsidRPr="009430BD">
            <w:rPr>
              <w:i/>
              <w:iCs/>
              <w:noProof/>
            </w:rPr>
            <w:t>Gobierno radicó presupuesto de regalías 2023-2024: el proyecto alcanza los $31,3 billones, un 2,1% del PIB.</w:t>
          </w:r>
          <w:r w:rsidRPr="009430BD">
            <w:rPr>
              <w:noProof/>
            </w:rPr>
            <w:t xml:space="preserve"> </w:t>
          </w:r>
        </w:p>
        <w:p w14:paraId="154CBB9C" w14:textId="77777777" w:rsidR="001E7100" w:rsidRPr="009430BD" w:rsidRDefault="001E7100" w:rsidP="009430BD">
          <w:pPr>
            <w:rPr>
              <w:noProof/>
            </w:rPr>
          </w:pPr>
          <w:r w:rsidRPr="009430BD">
            <w:rPr>
              <w:noProof/>
            </w:rPr>
            <w:t xml:space="preserve">Naciones Unidas . (2017). </w:t>
          </w:r>
          <w:r w:rsidRPr="009430BD">
            <w:rPr>
              <w:i/>
              <w:iCs/>
              <w:noProof/>
            </w:rPr>
            <w:t>Instituciones, políticas e instrumentos para impulsar la ciencia, tecnología e innovación en la Argentina Reflexiones a partir de la experiencia brasileña .</w:t>
          </w:r>
          <w:r w:rsidRPr="009430BD">
            <w:rPr>
              <w:noProof/>
            </w:rPr>
            <w:t xml:space="preserve"> Santiago : Naciones Unidas .</w:t>
          </w:r>
        </w:p>
        <w:p w14:paraId="3BC60326" w14:textId="77777777" w:rsidR="001E7100" w:rsidRPr="009430BD" w:rsidRDefault="001E7100" w:rsidP="009430BD">
          <w:pPr>
            <w:rPr>
              <w:noProof/>
            </w:rPr>
          </w:pPr>
          <w:r w:rsidRPr="009430BD">
            <w:rPr>
              <w:noProof/>
            </w:rPr>
            <w:t xml:space="preserve">observatorio colombiano de ciencia y tecnologia . (30 de junio de 2021). </w:t>
          </w:r>
          <w:r w:rsidRPr="009430BD">
            <w:rPr>
              <w:i/>
              <w:iCs/>
              <w:noProof/>
            </w:rPr>
            <w:t>conciencia de datos .</w:t>
          </w:r>
          <w:r w:rsidRPr="009430BD">
            <w:rPr>
              <w:noProof/>
            </w:rPr>
            <w:t xml:space="preserve"> Obtenido de https://ocyt.org.co/indice-departamental-de-innovacion-para-colombia-idic-adaptacion-a-partir-de-una-metrica-internacional/</w:t>
          </w:r>
        </w:p>
        <w:p w14:paraId="36739A7A" w14:textId="77777777" w:rsidR="001E7100" w:rsidRPr="009430BD" w:rsidRDefault="001E7100" w:rsidP="009430BD">
          <w:pPr>
            <w:rPr>
              <w:noProof/>
            </w:rPr>
          </w:pPr>
          <w:r w:rsidRPr="009430BD">
            <w:rPr>
              <w:noProof/>
            </w:rPr>
            <w:t xml:space="preserve">Observatorio Parlamentario. (2012). </w:t>
          </w:r>
          <w:r w:rsidRPr="009430BD">
            <w:rPr>
              <w:i/>
              <w:iCs/>
              <w:noProof/>
            </w:rPr>
            <w:t>Corea y su potente Ministerio de Ciencia y Tecnología.</w:t>
          </w:r>
          <w:r w:rsidRPr="009430BD">
            <w:rPr>
              <w:noProof/>
            </w:rPr>
            <w:t xml:space="preserve"> Santiago: Biblioteca del congreso nacional de Chile/BCN.</w:t>
          </w:r>
        </w:p>
        <w:p w14:paraId="0BFA13B7" w14:textId="77777777" w:rsidR="001E7100" w:rsidRPr="009430BD" w:rsidRDefault="001E7100" w:rsidP="009430BD">
          <w:pPr>
            <w:rPr>
              <w:noProof/>
            </w:rPr>
          </w:pPr>
          <w:r w:rsidRPr="009430BD">
            <w:rPr>
              <w:noProof/>
            </w:rPr>
            <w:t xml:space="preserve">Okuda Benavides, M., &amp; Gómez Restrepo, C. (2005). </w:t>
          </w:r>
          <w:r w:rsidRPr="009430BD">
            <w:rPr>
              <w:i/>
              <w:iCs/>
              <w:noProof/>
            </w:rPr>
            <w:t>Métodos en investigación cualitativa: triangulación.</w:t>
          </w:r>
          <w:r w:rsidRPr="009430BD">
            <w:rPr>
              <w:noProof/>
            </w:rPr>
            <w:t xml:space="preserve"> Bogota : Pontificia Universidad Javeriana .</w:t>
          </w:r>
        </w:p>
        <w:p w14:paraId="13D2FB58" w14:textId="77777777" w:rsidR="001E7100" w:rsidRPr="009430BD" w:rsidRDefault="001E7100" w:rsidP="009430BD">
          <w:pPr>
            <w:rPr>
              <w:noProof/>
            </w:rPr>
          </w:pPr>
          <w:r w:rsidRPr="009430BD">
            <w:rPr>
              <w:noProof/>
            </w:rPr>
            <w:t xml:space="preserve">Organización para la Cooperación y el Desarrollo Económicos (OCDE). (2010). </w:t>
          </w:r>
          <w:r w:rsidRPr="009430BD">
            <w:rPr>
              <w:i/>
              <w:iCs/>
              <w:noProof/>
            </w:rPr>
            <w:t>La estrategia de innovación de la OCDE: Lograr una recuperación fuerte y sostenible.</w:t>
          </w:r>
          <w:r w:rsidRPr="009430BD">
            <w:rPr>
              <w:noProof/>
            </w:rPr>
            <w:t xml:space="preserve"> OCDE Publishing.</w:t>
          </w:r>
        </w:p>
        <w:p w14:paraId="20012AB9" w14:textId="77777777" w:rsidR="001E7100" w:rsidRPr="009430BD" w:rsidRDefault="001E7100" w:rsidP="009430BD">
          <w:pPr>
            <w:rPr>
              <w:noProof/>
            </w:rPr>
          </w:pPr>
          <w:r w:rsidRPr="009430BD">
            <w:rPr>
              <w:noProof/>
            </w:rPr>
            <w:t xml:space="preserve">Pacheco, J. N. (2017). Diagnóstico de la estructura del sistema regional de innovacion en Bogotá. </w:t>
          </w:r>
          <w:r w:rsidRPr="009430BD">
            <w:rPr>
              <w:i/>
              <w:iCs/>
              <w:noProof/>
            </w:rPr>
            <w:t>Doctoral dissertation, Uniandes</w:t>
          </w:r>
          <w:r w:rsidRPr="009430BD">
            <w:rPr>
              <w:noProof/>
            </w:rPr>
            <w:t>.</w:t>
          </w:r>
        </w:p>
        <w:p w14:paraId="67D0C72F" w14:textId="77777777" w:rsidR="001E7100" w:rsidRPr="009430BD" w:rsidRDefault="001E7100" w:rsidP="009430BD">
          <w:pPr>
            <w:rPr>
              <w:noProof/>
            </w:rPr>
          </w:pPr>
          <w:r w:rsidRPr="009430BD">
            <w:rPr>
              <w:noProof/>
            </w:rPr>
            <w:t xml:space="preserve">Pérez Castaño , B. J., &amp; Bermúdez Quintana, E. M. (2015). SISTEMA REGIONAL DE INNOVACIÓN PARA EL DESARROLLOTERRITORIAL: PROPUESTA DE </w:t>
          </w:r>
          <w:r w:rsidRPr="009430BD">
            <w:rPr>
              <w:noProof/>
            </w:rPr>
            <w:lastRenderedPageBreak/>
            <w:t xml:space="preserve">MODELO CUÁDRUPLE HÉLICE EN COLOMBIA . </w:t>
          </w:r>
          <w:r w:rsidRPr="009430BD">
            <w:rPr>
              <w:i/>
              <w:iCs/>
              <w:noProof/>
            </w:rPr>
            <w:t xml:space="preserve">Revista Brasileira de Planejamento e Desenvolvimento </w:t>
          </w:r>
          <w:r w:rsidRPr="009430BD">
            <w:rPr>
              <w:noProof/>
            </w:rPr>
            <w:t>, 40-64.</w:t>
          </w:r>
        </w:p>
        <w:p w14:paraId="4F7636F5" w14:textId="77777777" w:rsidR="001E7100" w:rsidRPr="009430BD" w:rsidRDefault="001E7100" w:rsidP="009430BD">
          <w:pPr>
            <w:rPr>
              <w:noProof/>
            </w:rPr>
          </w:pPr>
          <w:r w:rsidRPr="009430BD">
            <w:rPr>
              <w:noProof/>
            </w:rPr>
            <w:t xml:space="preserve">Quintero, S., Ruiz-Castañeda, W., Cubillos Jiménez, S., Marín Sánchez, B. M., Giraldo, D., &amp; Vélez Acosta, L. (2021). </w:t>
          </w:r>
          <w:r w:rsidRPr="009430BD">
            <w:rPr>
              <w:i/>
              <w:iCs/>
              <w:noProof/>
            </w:rPr>
            <w:t>Medición de las capacidades tecnológicas para la innovación en los sistemas de conocimiento e innovación agrícola.</w:t>
          </w:r>
          <w:r w:rsidRPr="009430BD">
            <w:rPr>
              <w:noProof/>
            </w:rPr>
            <w:t xml:space="preserve"> Medellin : Corporación Colombiana de Investigación Agropecuaria .</w:t>
          </w:r>
        </w:p>
        <w:p w14:paraId="05272987" w14:textId="77777777" w:rsidR="001E7100" w:rsidRPr="009430BD" w:rsidRDefault="001E7100" w:rsidP="009430BD">
          <w:pPr>
            <w:rPr>
              <w:noProof/>
            </w:rPr>
          </w:pPr>
          <w:r w:rsidRPr="009430BD">
            <w:rPr>
              <w:noProof/>
            </w:rPr>
            <w:t xml:space="preserve">REAL ACADEMIA ESPAÑOLA:. (24 de 03 de 2025). </w:t>
          </w:r>
          <w:r w:rsidRPr="009430BD">
            <w:rPr>
              <w:i/>
              <w:iCs/>
              <w:noProof/>
            </w:rPr>
            <w:t>Diccionario de la lengua española, 23.ª ed., [versión 23.8 en línea]</w:t>
          </w:r>
          <w:r w:rsidRPr="009430BD">
            <w:rPr>
              <w:noProof/>
            </w:rPr>
            <w:t>. Obtenido de https://dle.rae.es</w:t>
          </w:r>
        </w:p>
        <w:p w14:paraId="4A70CF53" w14:textId="77777777" w:rsidR="001E7100" w:rsidRPr="009430BD" w:rsidRDefault="001E7100" w:rsidP="009430BD">
          <w:pPr>
            <w:rPr>
              <w:noProof/>
            </w:rPr>
          </w:pPr>
          <w:r w:rsidRPr="009430BD">
            <w:rPr>
              <w:noProof/>
            </w:rPr>
            <w:t xml:space="preserve">Reuters. (24 de 02 de 2025). </w:t>
          </w:r>
          <w:r w:rsidRPr="009430BD">
            <w:rPr>
              <w:i/>
              <w:iCs/>
              <w:noProof/>
            </w:rPr>
            <w:t>Con violencia grupos armados ilegales mantienen control territorial y social en Colombia: ONU</w:t>
          </w:r>
          <w:r w:rsidRPr="009430BD">
            <w:rPr>
              <w:noProof/>
            </w:rPr>
            <w:t>. Obtenido de Reuters: https://www.reuters.com/latam/domestico/IGBTEUQUHVIONNMZGXISQX3OMA-2025-02-24/</w:t>
          </w:r>
        </w:p>
        <w:p w14:paraId="64CE6E3B" w14:textId="77777777" w:rsidR="001E7100" w:rsidRPr="009430BD" w:rsidRDefault="001E7100" w:rsidP="009430BD">
          <w:pPr>
            <w:rPr>
              <w:noProof/>
            </w:rPr>
          </w:pPr>
          <w:r w:rsidRPr="009430BD">
            <w:rPr>
              <w:noProof/>
            </w:rPr>
            <w:t xml:space="preserve">Rincón Castillo, E. L. (2020). El sistema nacional de innovación: Un análisis teórico-conceptual. </w:t>
          </w:r>
          <w:r w:rsidRPr="009430BD">
            <w:rPr>
              <w:i/>
              <w:iCs/>
              <w:noProof/>
            </w:rPr>
            <w:t>redalyc</w:t>
          </w:r>
          <w:r w:rsidRPr="009430BD">
            <w:rPr>
              <w:noProof/>
            </w:rPr>
            <w:t>, 94-117.</w:t>
          </w:r>
        </w:p>
        <w:p w14:paraId="5E67A76C" w14:textId="77777777" w:rsidR="001E7100" w:rsidRPr="009430BD" w:rsidRDefault="001E7100" w:rsidP="009430BD">
          <w:pPr>
            <w:rPr>
              <w:noProof/>
              <w:lang w:val="en-US"/>
            </w:rPr>
          </w:pPr>
          <w:r w:rsidRPr="009430BD">
            <w:rPr>
              <w:noProof/>
            </w:rPr>
            <w:t xml:space="preserve">Santamaría Ramos, J. A. (2021). </w:t>
          </w:r>
          <w:r w:rsidRPr="009430BD">
            <w:rPr>
              <w:i/>
              <w:iCs/>
              <w:noProof/>
            </w:rPr>
            <w:t xml:space="preserve">Estructura y dinámica de los Sistemas Locales de Innovación Social en Colombia. </w:t>
          </w:r>
          <w:r w:rsidRPr="009430BD">
            <w:rPr>
              <w:i/>
              <w:iCs/>
              <w:noProof/>
              <w:lang w:val="en-US"/>
            </w:rPr>
            <w:t>Evidencia territorial.</w:t>
          </w:r>
          <w:r w:rsidRPr="009430BD">
            <w:rPr>
              <w:noProof/>
              <w:lang w:val="en-US"/>
            </w:rPr>
            <w:t xml:space="preserve"> Barranquilla : Universidad del Norte.</w:t>
          </w:r>
        </w:p>
        <w:p w14:paraId="498EB9D8" w14:textId="77777777" w:rsidR="001E7100" w:rsidRPr="009430BD" w:rsidRDefault="001E7100" w:rsidP="009430BD">
          <w:pPr>
            <w:rPr>
              <w:noProof/>
            </w:rPr>
          </w:pPr>
          <w:r w:rsidRPr="009430BD">
            <w:rPr>
              <w:noProof/>
              <w:lang w:val="en-US"/>
            </w:rPr>
            <w:t xml:space="preserve">Schumpeter, J. A. (1934). </w:t>
          </w:r>
          <w:r w:rsidRPr="009430BD">
            <w:rPr>
              <w:i/>
              <w:iCs/>
              <w:noProof/>
              <w:lang w:val="en-US"/>
            </w:rPr>
            <w:t>The Theory of Economic Development: An Inquiry into Profits, Capital, Credit, Interest, and the Business Cycle. .</w:t>
          </w:r>
          <w:r w:rsidRPr="009430BD">
            <w:rPr>
              <w:noProof/>
              <w:lang w:val="en-US"/>
            </w:rPr>
            <w:t xml:space="preserve"> </w:t>
          </w:r>
          <w:r w:rsidRPr="009430BD">
            <w:rPr>
              <w:noProof/>
            </w:rPr>
            <w:t>New Jersey : Harvard University Press. .</w:t>
          </w:r>
        </w:p>
        <w:p w14:paraId="037C649F" w14:textId="77777777" w:rsidR="001E7100" w:rsidRPr="009430BD" w:rsidRDefault="001E7100" w:rsidP="009430BD">
          <w:pPr>
            <w:rPr>
              <w:noProof/>
            </w:rPr>
          </w:pPr>
          <w:r w:rsidRPr="009430BD">
            <w:rPr>
              <w:noProof/>
            </w:rPr>
            <w:t xml:space="preserve">Trejo Berumen, K. S. (2018). El sistema nacional de innovación de México. Una comparación con España y Estados Unidos de América. . </w:t>
          </w:r>
          <w:r w:rsidRPr="009430BD">
            <w:rPr>
              <w:i/>
              <w:iCs/>
              <w:noProof/>
            </w:rPr>
            <w:t>Acta universitaria 28(1)</w:t>
          </w:r>
          <w:r w:rsidRPr="009430BD">
            <w:rPr>
              <w:noProof/>
            </w:rPr>
            <w:t>, 87-98.</w:t>
          </w:r>
        </w:p>
        <w:p w14:paraId="562CD05F" w14:textId="77777777" w:rsidR="001E7100" w:rsidRPr="009430BD" w:rsidRDefault="001E7100" w:rsidP="009430BD">
          <w:pPr>
            <w:rPr>
              <w:noProof/>
            </w:rPr>
          </w:pPr>
          <w:r w:rsidRPr="009430BD">
            <w:rPr>
              <w:noProof/>
            </w:rPr>
            <w:lastRenderedPageBreak/>
            <w:t xml:space="preserve">Universidad Industrial de Santander . (2014). </w:t>
          </w:r>
          <w:r w:rsidRPr="009430BD">
            <w:rPr>
              <w:i/>
              <w:iCs/>
              <w:noProof/>
            </w:rPr>
            <w:t xml:space="preserve">biblioteca virtual </w:t>
          </w:r>
          <w:r w:rsidRPr="009430BD">
            <w:rPr>
              <w:noProof/>
            </w:rPr>
            <w:t>. Obtenido de https://login.bibliotecavirtual.uis.edu.co/menu</w:t>
          </w:r>
        </w:p>
        <w:p w14:paraId="1042B796" w14:textId="77777777" w:rsidR="001E7100" w:rsidRPr="009430BD" w:rsidRDefault="001E7100" w:rsidP="009430BD">
          <w:pPr>
            <w:rPr>
              <w:noProof/>
            </w:rPr>
          </w:pPr>
          <w:r w:rsidRPr="009430BD">
            <w:rPr>
              <w:noProof/>
            </w:rPr>
            <w:t xml:space="preserve">Uribe Gómez, J. A., Giraldo Ramírez, D. P., &amp; Quintero Ramírez, S. (2016). Conceptos, actores y atributos de los sistemas regionales de Innovación:Una revisión desde la literatura. </w:t>
          </w:r>
          <w:r w:rsidRPr="009430BD">
            <w:rPr>
              <w:i/>
              <w:iCs/>
              <w:noProof/>
            </w:rPr>
            <w:t>Una revisión desde la literatura</w:t>
          </w:r>
          <w:r w:rsidRPr="009430BD">
            <w:rPr>
              <w:noProof/>
            </w:rPr>
            <w:t>, 171-179.</w:t>
          </w:r>
        </w:p>
        <w:p w14:paraId="6A89BE9F" w14:textId="77777777" w:rsidR="001E7100" w:rsidRPr="009430BD" w:rsidRDefault="001E7100" w:rsidP="009430BD">
          <w:pPr>
            <w:rPr>
              <w:noProof/>
              <w:lang w:val="en-US"/>
            </w:rPr>
          </w:pPr>
          <w:r w:rsidRPr="009430BD">
            <w:rPr>
              <w:noProof/>
            </w:rPr>
            <w:t xml:space="preserve">Velandia, J., &amp; Zapata, S. (2019). </w:t>
          </w:r>
          <w:r w:rsidRPr="009430BD">
            <w:rPr>
              <w:i/>
              <w:iCs/>
              <w:noProof/>
            </w:rPr>
            <w:t>UNA MIRADA AL SISTEMA DE INNOVACIÓN PANELERO DE LA REGIÓN DE CUNDINAMARCA.</w:t>
          </w:r>
          <w:r w:rsidRPr="009430BD">
            <w:rPr>
              <w:noProof/>
            </w:rPr>
            <w:t xml:space="preserve"> </w:t>
          </w:r>
          <w:r w:rsidRPr="009430BD">
            <w:rPr>
              <w:noProof/>
              <w:lang w:val="en-US"/>
            </w:rPr>
            <w:t>Bogota, D.C: Universidad Externado de Colombia.</w:t>
          </w:r>
        </w:p>
        <w:p w14:paraId="4162BE64" w14:textId="77777777" w:rsidR="001E7100" w:rsidRPr="009430BD" w:rsidRDefault="001E7100" w:rsidP="009430BD">
          <w:pPr>
            <w:rPr>
              <w:noProof/>
            </w:rPr>
          </w:pPr>
          <w:r w:rsidRPr="009430BD">
            <w:rPr>
              <w:noProof/>
              <w:lang w:val="en-US"/>
            </w:rPr>
            <w:t xml:space="preserve">World Intellectual Property Organization. (2024). </w:t>
          </w:r>
          <w:r w:rsidRPr="009430BD">
            <w:rPr>
              <w:i/>
              <w:iCs/>
              <w:noProof/>
              <w:lang w:val="en-US"/>
            </w:rPr>
            <w:t>Global Innovation Index 2024: Unlocking the Promise of Social.</w:t>
          </w:r>
          <w:r w:rsidRPr="009430BD">
            <w:rPr>
              <w:noProof/>
              <w:lang w:val="en-US"/>
            </w:rPr>
            <w:t xml:space="preserve"> </w:t>
          </w:r>
          <w:r w:rsidRPr="009430BD">
            <w:rPr>
              <w:noProof/>
            </w:rPr>
            <w:t>Ginebra : WIPO.</w:t>
          </w:r>
        </w:p>
        <w:p w14:paraId="042EDA00" w14:textId="77777777" w:rsidR="001E7100" w:rsidRPr="009430BD" w:rsidRDefault="001E7100" w:rsidP="009430BD">
          <w:pPr>
            <w:rPr>
              <w:noProof/>
              <w:lang w:val="en-US"/>
            </w:rPr>
          </w:pPr>
          <w:r w:rsidRPr="009430BD">
            <w:rPr>
              <w:noProof/>
            </w:rPr>
            <w:t xml:space="preserve">Zapata, J. V. (2019). </w:t>
          </w:r>
          <w:r w:rsidRPr="009430BD">
            <w:rPr>
              <w:i/>
              <w:iCs/>
              <w:noProof/>
            </w:rPr>
            <w:t>UNA MIRADA AL SISTEMA DE INNOVACIÓN PANELERO.</w:t>
          </w:r>
          <w:r w:rsidRPr="009430BD">
            <w:rPr>
              <w:noProof/>
            </w:rPr>
            <w:t xml:space="preserve"> </w:t>
          </w:r>
          <w:r w:rsidRPr="009430BD">
            <w:rPr>
              <w:noProof/>
              <w:lang w:val="en-US"/>
            </w:rPr>
            <w:t>Bogota : Universidad Externado de Colombia.</w:t>
          </w:r>
        </w:p>
        <w:p w14:paraId="146DD30C" w14:textId="77777777" w:rsidR="001E7100" w:rsidRPr="009430BD" w:rsidRDefault="001E7100" w:rsidP="009430BD">
          <w:pPr>
            <w:rPr>
              <w:noProof/>
              <w:lang w:val="es-ES"/>
            </w:rPr>
          </w:pPr>
          <w:r w:rsidRPr="009430BD">
            <w:rPr>
              <w:noProof/>
              <w:lang w:val="es-ES"/>
            </w:rPr>
            <w:fldChar w:fldCharType="end"/>
          </w:r>
          <w:r w:rsidRPr="009430BD">
            <w:rPr>
              <w:noProof/>
              <w:lang w:val="en-US"/>
            </w:rPr>
            <w:t xml:space="preserve"> Freeman, C. (1987). Technology Policy and Economic Performance: Lessons from Japan. </w:t>
          </w:r>
          <w:r w:rsidRPr="009430BD">
            <w:rPr>
              <w:noProof/>
            </w:rPr>
            <w:t xml:space="preserve">Pinter Publishers. </w:t>
          </w:r>
          <w:r w:rsidRPr="009430BD">
            <w:rPr>
              <w:noProof/>
              <w:lang w:val="es-ES"/>
            </w:rPr>
            <w:t>Este libro presenta el concepto de sistema de innovación como una red de instituciones y actores cuya interacción promueve la creación y difusión de nuevas tecnologías.</w:t>
          </w:r>
        </w:p>
        <w:p w14:paraId="54462ACE" w14:textId="77777777" w:rsidR="001E7100" w:rsidRPr="009430BD" w:rsidRDefault="001E7100" w:rsidP="009430BD">
          <w:pPr>
            <w:rPr>
              <w:noProof/>
              <w:lang w:val="es-ES"/>
            </w:rPr>
          </w:pPr>
          <w:r w:rsidRPr="009430BD">
            <w:rPr>
              <w:noProof/>
              <w:lang w:val="en-US"/>
            </w:rPr>
            <w:t xml:space="preserve">Lundvall, B. Å. (1992). National Systems of Innovation: Towards a Theory of Innovation and Interactive Learning. </w:t>
          </w:r>
          <w:r w:rsidRPr="009430BD">
            <w:rPr>
              <w:noProof/>
              <w:lang w:val="es-ES"/>
            </w:rPr>
            <w:t>Pinter Publishers. Lundvall profundiza en cómo los factores institucionales y culturales influyen en la creación y difusión del conocimiento dentro de un sistema de innovación.</w:t>
          </w:r>
        </w:p>
        <w:p w14:paraId="22E50A90" w14:textId="77777777" w:rsidR="001E7100" w:rsidRPr="009430BD" w:rsidRDefault="001E7100" w:rsidP="009430BD">
          <w:pPr>
            <w:rPr>
              <w:noProof/>
              <w:lang w:val="es-ES"/>
            </w:rPr>
          </w:pPr>
          <w:r w:rsidRPr="009430BD">
            <w:rPr>
              <w:noProof/>
              <w:lang w:val="en-US"/>
            </w:rPr>
            <w:t xml:space="preserve">Cooke, P., Gomez Uranga, M., &amp; Etxebarria, G. (1997). Regional Innovation Systems: Institutional and Organisational Dimensions. Research Policy, 26(4-5), 475-491. </w:t>
          </w:r>
          <w:r w:rsidRPr="009430BD">
            <w:rPr>
              <w:noProof/>
              <w:lang w:val="es-ES"/>
            </w:rPr>
            <w:t>Este artículo explica el concepto de Sistemas Regionales de Innovación, resaltando la importancia de la proximidad geográfica para la colaboración y el intercambio de conocimiento.</w:t>
          </w:r>
        </w:p>
        <w:p w14:paraId="47D2F51A" w14:textId="77777777" w:rsidR="001E7100" w:rsidRPr="009430BD" w:rsidRDefault="001E7100" w:rsidP="009430BD">
          <w:pPr>
            <w:rPr>
              <w:noProof/>
              <w:lang w:val="es-ES"/>
            </w:rPr>
          </w:pPr>
          <w:r w:rsidRPr="009430BD">
            <w:rPr>
              <w:noProof/>
              <w:lang w:val="en-US"/>
            </w:rPr>
            <w:t xml:space="preserve">Etzkowitz, H., &amp; Leydesdorff, L. (2000). The Dynamics of Innovation: From National Systems and “Mode 2” to a Triple Helix of University–Industry–Government Relations. </w:t>
          </w:r>
          <w:r w:rsidRPr="009430BD">
            <w:rPr>
              <w:noProof/>
              <w:lang w:val="es-ES"/>
            </w:rPr>
            <w:t>Research Policy, 29(2), 109-123. En este artículo se introduce el modelo de la Triple Hélice, describiendo la relación entre universidad, empresa y gobierno en el proceso de innovación.</w:t>
          </w:r>
        </w:p>
        <w:p w14:paraId="0311C888" w14:textId="77777777" w:rsidR="001E7100" w:rsidRPr="009430BD" w:rsidRDefault="001E7100" w:rsidP="009430BD">
          <w:pPr>
            <w:rPr>
              <w:noProof/>
              <w:lang w:val="es-ES"/>
            </w:rPr>
          </w:pPr>
          <w:r w:rsidRPr="009430BD">
            <w:rPr>
              <w:noProof/>
              <w:lang w:val="en-US"/>
            </w:rPr>
            <w:t xml:space="preserve">Etzkowitz, H., &amp; Zhou, C. (2006). Triple Helix Twins: Innovation and Sustainability. </w:t>
          </w:r>
          <w:r w:rsidRPr="009430BD">
            <w:rPr>
              <w:noProof/>
              <w:lang w:val="es-ES"/>
            </w:rPr>
            <w:t>Science and Public Policy, 33(1), 77-83. Los autores exploran cómo los tres actores de la Triple Hélice asumen roles complementarios para impulsar la innovación de manera colaborativa.</w:t>
          </w:r>
        </w:p>
        <w:p w14:paraId="5C46B3F7" w14:textId="77777777" w:rsidR="001E7100" w:rsidRPr="009430BD" w:rsidRDefault="001E7100" w:rsidP="009430BD">
          <w:pPr>
            <w:rPr>
              <w:noProof/>
              <w:lang w:val="es-ES"/>
            </w:rPr>
          </w:pPr>
          <w:r w:rsidRPr="009430BD">
            <w:rPr>
              <w:noProof/>
              <w:lang w:val="en-US"/>
            </w:rPr>
            <w:lastRenderedPageBreak/>
            <w:t xml:space="preserve">Porter, M. E. (1990). The Competitive Advantage of Nations. </w:t>
          </w:r>
          <w:r w:rsidRPr="009430BD">
            <w:rPr>
              <w:noProof/>
              <w:lang w:val="es-ES"/>
            </w:rPr>
            <w:t>Free Press. Porter presenta el concepto del "diamante" competitivo, en el cual la proximidad geográfica entre empresas y otros actores favorece el intercambio de conocimiento.</w:t>
          </w:r>
        </w:p>
        <w:p w14:paraId="1F72EB2B" w14:textId="77777777" w:rsidR="001E7100" w:rsidRPr="009430BD" w:rsidRDefault="001E7100" w:rsidP="009430BD">
          <w:pPr>
            <w:rPr>
              <w:noProof/>
              <w:lang w:val="es-ES"/>
            </w:rPr>
          </w:pPr>
          <w:r w:rsidRPr="009430BD">
            <w:rPr>
              <w:noProof/>
              <w:lang w:val="en-US"/>
            </w:rPr>
            <w:t xml:space="preserve">Camagni, R. (2002). On the Concept of Territorial Competitiveness: Sound or Misleading? </w:t>
          </w:r>
          <w:r w:rsidRPr="009430BD">
            <w:rPr>
              <w:noProof/>
              <w:lang w:val="es-ES"/>
            </w:rPr>
            <w:t>Urban Studies, 39(13), 2395-2411. Este artículo analiza la importancia del territorio y su influencia en la competitividad y la innovación a nivel regional.</w:t>
          </w:r>
        </w:p>
        <w:p w14:paraId="16B49256" w14:textId="77777777" w:rsidR="001E7100" w:rsidRPr="009430BD" w:rsidRDefault="001E7100" w:rsidP="009430BD">
          <w:pPr>
            <w:rPr>
              <w:noProof/>
              <w:lang w:val="es-ES"/>
            </w:rPr>
          </w:pPr>
          <w:r w:rsidRPr="009430BD">
            <w:rPr>
              <w:noProof/>
              <w:lang w:val="en-US"/>
            </w:rPr>
            <w:t xml:space="preserve">Powell, W. W., &amp; Grodal, S. (2005). Networks of Innovators. En Fagerberg, J., Mowery, D. C., &amp; Nelson, R. R. (Eds.), The Oxford Handbook of Innovation (pp. 56-85). </w:t>
          </w:r>
          <w:r w:rsidRPr="009430BD">
            <w:rPr>
              <w:noProof/>
              <w:lang w:val="es-ES"/>
            </w:rPr>
            <w:t>Oxford University Press. Este capítulo discute cómo las redes de innovación permiten a los actores beneficiarse del conocimiento compartido y acceder a recursos complementarios.</w:t>
          </w:r>
        </w:p>
        <w:p w14:paraId="285EAC2F" w14:textId="77777777" w:rsidR="001E7100" w:rsidRPr="009430BD" w:rsidRDefault="001E7100" w:rsidP="009430BD">
          <w:pPr>
            <w:rPr>
              <w:noProof/>
              <w:lang w:val="es-ES"/>
            </w:rPr>
          </w:pPr>
          <w:r w:rsidRPr="009430BD">
            <w:rPr>
              <w:noProof/>
              <w:lang w:val="en-US"/>
            </w:rPr>
            <w:t xml:space="preserve">Dhanaraj, C., &amp; Parkhe, A. (2006). Orchestrating Innovation Networks. </w:t>
          </w:r>
          <w:r w:rsidRPr="009430BD">
            <w:rPr>
              <w:noProof/>
              <w:lang w:val="es-ES"/>
            </w:rPr>
            <w:t>Academy of Management Review, 31(3), 659-669. Dhanaraj y Parkhe examinan cómo las redes de innovación facilitan el flujo de conocimiento y tecnología, promoviendo la innovación Medionte la cooperación.</w:t>
          </w:r>
        </w:p>
        <w:p w14:paraId="530050BA" w14:textId="77777777" w:rsidR="001E7100" w:rsidRPr="009430BD" w:rsidRDefault="001E7100" w:rsidP="009430BD">
          <w:pPr>
            <w:rPr>
              <w:noProof/>
              <w:lang w:val="es-ES"/>
            </w:rPr>
          </w:pPr>
          <w:r w:rsidRPr="009430BD">
            <w:rPr>
              <w:noProof/>
              <w:lang w:val="es-ES"/>
            </w:rPr>
            <w:t xml:space="preserve">Organización para la Cooperación y el Desarrollo Económicos (OCDE). </w:t>
          </w:r>
          <w:r w:rsidRPr="009430BD">
            <w:rPr>
              <w:noProof/>
              <w:lang w:val="en-US"/>
            </w:rPr>
            <w:t xml:space="preserve">(2018). Oslo Manual 2018: Guidelines for Collecting, Reporting and Using Data on Innovation, 4th Edition. </w:t>
          </w:r>
          <w:r w:rsidRPr="009430BD">
            <w:rPr>
              <w:noProof/>
              <w:lang w:val="es-ES"/>
            </w:rPr>
            <w:t>OECD Publishing. La OCDE define la capacidad de innovación y establece lineamientos para el diagnóstico y análisis de sistemas de innovación.</w:t>
          </w:r>
        </w:p>
        <w:p w14:paraId="4E25DE9D" w14:textId="77777777" w:rsidR="001E7100" w:rsidRPr="009430BD" w:rsidRDefault="001E7100" w:rsidP="009430BD">
          <w:pPr>
            <w:rPr>
              <w:noProof/>
              <w:lang w:val="es-ES"/>
            </w:rPr>
          </w:pPr>
          <w:r w:rsidRPr="009430BD">
            <w:rPr>
              <w:noProof/>
              <w:lang w:val="es-ES"/>
            </w:rPr>
            <w:t>Fernández-de-Lucio, I., &amp; Castro-Martínez, E. (1995). La Evaluación de los Sistemas Regionales de Innovación. Este trabajo analiza la importancia del diagnóstico de la capacidad de innovación en sistemas de innovación regionales, identificando factores clave como la infraestructura y la colaboración entre actores.</w:t>
          </w:r>
        </w:p>
      </w:sdtContent>
    </w:sdt>
    <w:p w14:paraId="1DDA0E38" w14:textId="77777777" w:rsidR="001E7100" w:rsidRPr="009430BD" w:rsidRDefault="001E7100" w:rsidP="009430BD">
      <w:pPr>
        <w:rPr>
          <w:noProof/>
          <w:lang w:val="es-ES"/>
        </w:rPr>
      </w:pPr>
      <w:r w:rsidRPr="009430BD">
        <w:rPr>
          <w:rFonts w:eastAsia="Times New Roman"/>
          <w:noProof/>
          <w:lang w:val="es-ES"/>
        </w:rPr>
        <w:t xml:space="preserve"> Amar Sepúlveda, P. A., Angulo Cuentas, G. L., Ortega Buelvas, M. M., &amp; Quintero Maldonado, J. D. (2011). El sistema de innovación del departamento del Atlántico: una mirada desde la cibernética organizacional. Revista GTI, 5(12), 55–62. Recuperado a partir de https://revistas.uis.edu.co/index.php/revistagti/article/view/1451</w:t>
      </w:r>
    </w:p>
    <w:p w14:paraId="5160445F" w14:textId="77777777" w:rsidR="001E7100" w:rsidRPr="009430BD" w:rsidRDefault="001E7100" w:rsidP="009430BD">
      <w:pPr>
        <w:rPr>
          <w:noProof/>
          <w:lang w:val="es-ES"/>
        </w:rPr>
      </w:pPr>
      <w:r w:rsidRPr="009430BD">
        <w:rPr>
          <w:rFonts w:eastAsia="Times New Roman"/>
          <w:noProof/>
          <w:lang w:val="es-ES"/>
        </w:rPr>
        <w:t xml:space="preserve">Ariza, M. M. (2024, 2 abril). ¿Colombia se raja en el índice global de innovación? Logra el puesto 66 entre 132 países. Diario la República.https://www.larepublica.co/globoeconomia/colombia-aparece-en-el-puesto-66-del-mas-reciente-indice-global-de-innovacion-3831937  </w:t>
      </w:r>
    </w:p>
    <w:p w14:paraId="752BDC08" w14:textId="77777777" w:rsidR="001E7100" w:rsidRPr="009430BD" w:rsidRDefault="001E7100" w:rsidP="009430BD">
      <w:pPr>
        <w:rPr>
          <w:noProof/>
          <w:lang w:val="es-ES"/>
        </w:rPr>
      </w:pPr>
      <w:r w:rsidRPr="009430BD">
        <w:rPr>
          <w:rFonts w:eastAsia="Times New Roman"/>
          <w:noProof/>
          <w:lang w:val="es-ES"/>
        </w:rPr>
        <w:t xml:space="preserve">Reynoso, L., Reynoso, L., &amp; Reynoso, L. (2024, 14 Mayo). La Desigualdad Entre Las Regiones Colombianas Se Profundiza Pese A Los Avances En Desarrollo Humano. El País América </w:t>
      </w:r>
      <w:r w:rsidRPr="009430BD">
        <w:rPr>
          <w:rFonts w:eastAsia="Times New Roman"/>
          <w:noProof/>
          <w:lang w:val="es-ES"/>
        </w:rPr>
        <w:lastRenderedPageBreak/>
        <w:t>Colombia. Https://Elpais.Com/America-Colombia/2024-05-14/La-Desigualdad-Entre-Las-Regiones-Colombianas-Se-Profundiza-Pese-A-Los-Avances-En-Desarrollo-Humano.Html</w:t>
      </w:r>
    </w:p>
    <w:p w14:paraId="2EA511D9" w14:textId="77777777" w:rsidR="001E7100" w:rsidRPr="009430BD" w:rsidRDefault="001E7100" w:rsidP="009430BD">
      <w:pPr>
        <w:rPr>
          <w:noProof/>
          <w:lang w:val="es-ES"/>
        </w:rPr>
      </w:pPr>
      <w:r w:rsidRPr="009430BD">
        <w:rPr>
          <w:rFonts w:eastAsia="Times New Roman"/>
          <w:noProof/>
          <w:lang w:val="es-ES"/>
        </w:rPr>
        <w:t>Malaver Rodríguez, Florentino; Vargas Pérez, Marisela (2005). Políticas Y Avances En La Ciencia, La Tecnología Y La Innovación En Colombia 1990-2005. Cuadernos De Administración, 18(30), 39-78. Recuperado A Partir De Https://Www.Redalyc.Org/Pdf/205/20503002.Pdf</w:t>
      </w:r>
    </w:p>
    <w:p w14:paraId="0DAA7DE3" w14:textId="77777777" w:rsidR="001E7100" w:rsidRPr="009430BD" w:rsidRDefault="001E7100" w:rsidP="009430BD">
      <w:pPr>
        <w:rPr>
          <w:noProof/>
          <w:lang w:val="en-US"/>
        </w:rPr>
      </w:pPr>
      <w:r w:rsidRPr="009430BD">
        <w:rPr>
          <w:rFonts w:eastAsia="Times New Roman"/>
          <w:noProof/>
          <w:lang w:val="en-US"/>
        </w:rPr>
        <w:t>Porter, M. E. (1998). On Competition. Boston, Ma: Harvard Business School Press</w:t>
      </w:r>
    </w:p>
    <w:p w14:paraId="60AC2EF3" w14:textId="77777777" w:rsidR="001E7100" w:rsidRPr="009430BD" w:rsidRDefault="001E7100" w:rsidP="009430BD">
      <w:pPr>
        <w:rPr>
          <w:noProof/>
          <w:lang w:val="es-ES"/>
        </w:rPr>
      </w:pPr>
      <w:r w:rsidRPr="009430BD">
        <w:rPr>
          <w:rFonts w:eastAsia="Times New Roman"/>
          <w:noProof/>
          <w:lang w:val="en-US"/>
        </w:rPr>
        <w:t xml:space="preserve">Mason, C. &amp; Brown, R. (2014). Entrepreneurial Ecosystems And Growth Oriented Entrepreneurship. </w:t>
      </w:r>
      <w:r w:rsidRPr="009430BD">
        <w:rPr>
          <w:rFonts w:eastAsia="Times New Roman"/>
          <w:noProof/>
          <w:lang w:val="es-ES"/>
        </w:rPr>
        <w:t>Final Report To Oecd, Paris</w:t>
      </w:r>
    </w:p>
    <w:p w14:paraId="4892170A" w14:textId="77777777" w:rsidR="001E7100" w:rsidRPr="009430BD" w:rsidRDefault="001E7100" w:rsidP="009430BD">
      <w:pPr>
        <w:rPr>
          <w:noProof/>
        </w:rPr>
      </w:pPr>
      <w:r w:rsidRPr="009430BD">
        <w:rPr>
          <w:rFonts w:eastAsia="Times New Roman"/>
          <w:noProof/>
        </w:rPr>
        <w:t xml:space="preserve">​​Castellanos Pinzón, D. (2019). Correlación Entre Competitividad E Innovación: Una Validación Empírica De La Teoría. </w:t>
      </w:r>
    </w:p>
    <w:p w14:paraId="278AB0A7" w14:textId="77777777" w:rsidR="001E7100" w:rsidRPr="009430BD" w:rsidRDefault="001E7100" w:rsidP="009430BD">
      <w:pPr>
        <w:rPr>
          <w:noProof/>
        </w:rPr>
      </w:pPr>
      <w:r w:rsidRPr="009430BD">
        <w:rPr>
          <w:rFonts w:eastAsia="Times New Roman"/>
          <w:noProof/>
        </w:rPr>
        <w:t xml:space="preserve">​Colciencias. (N.D.). Colciencias. </w:t>
      </w:r>
    </w:p>
    <w:p w14:paraId="0EA7BE3A" w14:textId="77777777" w:rsidR="001E7100" w:rsidRPr="009430BD" w:rsidRDefault="001E7100" w:rsidP="009430BD">
      <w:pPr>
        <w:rPr>
          <w:noProof/>
        </w:rPr>
      </w:pPr>
      <w:r w:rsidRPr="009430BD">
        <w:rPr>
          <w:rFonts w:eastAsia="Times New Roman"/>
          <w:noProof/>
        </w:rPr>
        <w:t xml:space="preserve">​Decreto_979_De_2024. (N.D.). </w:t>
      </w:r>
    </w:p>
    <w:p w14:paraId="54397C74" w14:textId="77777777" w:rsidR="001E7100" w:rsidRPr="009430BD" w:rsidRDefault="001E7100" w:rsidP="009430BD">
      <w:pPr>
        <w:rPr>
          <w:noProof/>
        </w:rPr>
      </w:pPr>
      <w:r w:rsidRPr="009430BD">
        <w:rPr>
          <w:rFonts w:eastAsia="Times New Roman"/>
          <w:noProof/>
        </w:rPr>
        <w:t xml:space="preserve">​Departamento Administrativo De Ciencia, Tecnología E Innovación. (2020). Guía Técnica Para El Reconocimiento De Parques Científicos Tecnológicos Y De Innovación (Pcti). </w:t>
      </w:r>
    </w:p>
    <w:p w14:paraId="3C684F9F" w14:textId="77777777" w:rsidR="001E7100" w:rsidRPr="009430BD" w:rsidRDefault="001E7100" w:rsidP="009430BD">
      <w:pPr>
        <w:rPr>
          <w:noProof/>
        </w:rPr>
      </w:pPr>
      <w:r w:rsidRPr="009430BD">
        <w:rPr>
          <w:rFonts w:eastAsia="Times New Roman"/>
          <w:noProof/>
        </w:rPr>
        <w:t xml:space="preserve">​Dnp. (1994). Republica De Colombia Departamento Nacional De Planeacion Politica Nacional De Ciencia Y Tecnologia. </w:t>
      </w:r>
    </w:p>
    <w:p w14:paraId="08C36CAB" w14:textId="77777777" w:rsidR="001E7100" w:rsidRPr="009430BD" w:rsidRDefault="001E7100" w:rsidP="009430BD">
      <w:pPr>
        <w:rPr>
          <w:noProof/>
        </w:rPr>
      </w:pPr>
      <w:r w:rsidRPr="009430BD">
        <w:rPr>
          <w:rFonts w:eastAsia="Times New Roman"/>
          <w:noProof/>
        </w:rPr>
        <w:t xml:space="preserve">​Moncayo Jiménez, E. (2018). Las Políticas Regionales De Ciencia, Tecnología E Innovación En Colombia: Surgimiento, Evolución Y Balance De La Situación Actual. Opera, 23, 185–208. Https://Doi.Org/10.18601/16578651.N23.11 </w:t>
      </w:r>
    </w:p>
    <w:p w14:paraId="4C2C90CC" w14:textId="77777777" w:rsidR="001E7100" w:rsidRPr="009430BD" w:rsidRDefault="001E7100" w:rsidP="009430BD">
      <w:pPr>
        <w:rPr>
          <w:noProof/>
        </w:rPr>
      </w:pPr>
      <w:r w:rsidRPr="009430BD">
        <w:rPr>
          <w:rFonts w:eastAsia="Times New Roman"/>
          <w:noProof/>
        </w:rPr>
        <w:t>​Sistema De Gestión De La Calidad Del Ministerio De Ciencia, Tecnología E Innovación. (2021a). Guía Técnica Para El Reconocimiento De Incubadoras De Empresas De Base Tecnológica-Iebt Contenido.</w:t>
      </w:r>
    </w:p>
    <w:p w14:paraId="64BBB02F" w14:textId="77777777" w:rsidR="001E7100" w:rsidRPr="009430BD" w:rsidRDefault="001E7100" w:rsidP="009430BD">
      <w:pPr>
        <w:rPr>
          <w:noProof/>
        </w:rPr>
      </w:pPr>
      <w:r w:rsidRPr="009430BD">
        <w:rPr>
          <w:rFonts w:eastAsia="Times New Roman"/>
          <w:noProof/>
        </w:rPr>
        <w:lastRenderedPageBreak/>
        <w:t>El País. (2024a, 29 de diciembre). Narcos, mineros ilegales y disidencias: la triple alianza que devasta a la Amazonía. https://elpais.com/america/amazonia-sin-fronteras/2024-12-29/narcos-mineros-ilegales-y-disidencias-la-triple-alianza-que-devasta-a-la-amazonia.html</w:t>
      </w:r>
    </w:p>
    <w:p w14:paraId="0F62DF42" w14:textId="77777777" w:rsidR="001E7100" w:rsidRPr="009430BD" w:rsidRDefault="001E7100" w:rsidP="009430BD">
      <w:pPr>
        <w:rPr>
          <w:noProof/>
        </w:rPr>
      </w:pPr>
      <w:r w:rsidRPr="009430BD">
        <w:rPr>
          <w:rFonts w:eastAsia="Times New Roman"/>
          <w:noProof/>
        </w:rPr>
        <w:t>El Tiempo. (2024, 18 de febrero). Panorama de seguridad en las regiones insulares de Colombia. https://www.eltiempo.com</w:t>
      </w:r>
    </w:p>
    <w:p w14:paraId="5F1B94D5" w14:textId="77777777" w:rsidR="001E7100" w:rsidRPr="009430BD" w:rsidRDefault="001E7100" w:rsidP="009430BD">
      <w:pPr>
        <w:rPr>
          <w:noProof/>
        </w:rPr>
      </w:pPr>
      <w:r w:rsidRPr="009430BD">
        <w:rPr>
          <w:rFonts w:eastAsia="Times New Roman"/>
          <w:noProof/>
        </w:rPr>
        <w:t>El Tiempo. (2024, 15 de marzo). Panorama de las regiones en 2024: departamentos con mayor índice de riesgo. https://www.eltiempo.com/politica/partidos-politicos/el-panorama-de-las-regiones-en-2024-estos-son-los-departamentos-que-tuvieron-mayor-indice-de-riesgo-3419218</w:t>
      </w:r>
    </w:p>
    <w:p w14:paraId="40298F83" w14:textId="77777777" w:rsidR="001E7100" w:rsidRPr="00A12FEC" w:rsidRDefault="001E7100" w:rsidP="001E7100">
      <w:pPr>
        <w:spacing w:line="480" w:lineRule="exact"/>
        <w:rPr>
          <w:noProof/>
        </w:rPr>
      </w:pPr>
    </w:p>
    <w:p w14:paraId="498731B9" w14:textId="09E8E293" w:rsidR="005D59EC" w:rsidRDefault="005D59EC"/>
    <w:sectPr w:rsidR="005D59EC" w:rsidSect="00330686">
      <w:headerReference w:type="default" r:id="rId15"/>
      <w:footerReference w:type="default" r:id="rId16"/>
      <w:headerReference w:type="first" r:id="rId17"/>
      <w:pgSz w:w="12240" w:h="15840"/>
      <w:pgMar w:top="1247" w:right="1134"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4CFF1" w14:textId="77777777" w:rsidR="00061782" w:rsidRDefault="00061782" w:rsidP="00440A49">
      <w:pPr>
        <w:spacing w:after="0" w:line="240" w:lineRule="auto"/>
      </w:pPr>
      <w:r>
        <w:separator/>
      </w:r>
    </w:p>
  </w:endnote>
  <w:endnote w:type="continuationSeparator" w:id="0">
    <w:p w14:paraId="51B695E1" w14:textId="77777777" w:rsidR="00061782" w:rsidRDefault="00061782" w:rsidP="00440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D4DE" w14:textId="77777777" w:rsidR="004902A4" w:rsidRDefault="00440A49">
    <w:pPr>
      <w:pStyle w:val="Piedepgina"/>
    </w:pPr>
    <w:r>
      <w:rPr>
        <w:noProof/>
      </w:rPr>
      <w:t xml:space="preserve">Investigación e Innovación en Ingenierías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DD24" w14:textId="77777777" w:rsidR="00061782" w:rsidRDefault="00061782" w:rsidP="00440A49">
      <w:pPr>
        <w:spacing w:after="0" w:line="240" w:lineRule="auto"/>
      </w:pPr>
      <w:r>
        <w:separator/>
      </w:r>
    </w:p>
  </w:footnote>
  <w:footnote w:type="continuationSeparator" w:id="0">
    <w:p w14:paraId="1B22AF76" w14:textId="77777777" w:rsidR="00061782" w:rsidRDefault="00061782" w:rsidP="00440A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0910D" w14:textId="77777777" w:rsidR="00B731A7" w:rsidRDefault="00000000" w:rsidP="00B731A7">
    <w:pPr>
      <w:pStyle w:val="Encabezado"/>
      <w:jc w:val="center"/>
      <w:rPr>
        <w:noProof/>
      </w:rPr>
    </w:pPr>
  </w:p>
  <w:p w14:paraId="04D96569" w14:textId="77777777" w:rsidR="00B731A7" w:rsidRDefault="00000000" w:rsidP="00B731A7">
    <w:pPr>
      <w:pStyle w:val="Encabezado"/>
      <w:jc w:val="center"/>
      <w:rPr>
        <w:noProof/>
      </w:rPr>
    </w:pPr>
  </w:p>
  <w:p w14:paraId="23141DC6" w14:textId="77777777" w:rsidR="00B731A7" w:rsidRDefault="00000000" w:rsidP="00B731A7">
    <w:pPr>
      <w:pStyle w:val="Encabezado"/>
      <w:jc w:val="cent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F17C" w14:textId="77777777" w:rsidR="00B731A7" w:rsidRDefault="00E859CE" w:rsidP="00B731A7">
    <w:pPr>
      <w:pStyle w:val="Encabezado"/>
      <w:jc w:val="center"/>
    </w:pPr>
    <w:r>
      <w:rPr>
        <w:noProof/>
      </w:rPr>
      <w:drawing>
        <wp:anchor distT="0" distB="0" distL="114300" distR="114300" simplePos="0" relativeHeight="251661312" behindDoc="0" locked="0" layoutInCell="1" allowOverlap="1" wp14:anchorId="230BBA24" wp14:editId="13F0B319">
          <wp:simplePos x="0" y="0"/>
          <wp:positionH relativeFrom="leftMargin">
            <wp:align>right</wp:align>
          </wp:positionH>
          <wp:positionV relativeFrom="topMargin">
            <wp:posOffset>204005</wp:posOffset>
          </wp:positionV>
          <wp:extent cx="669925" cy="72326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9925" cy="723265"/>
                  </a:xfrm>
                  <a:prstGeom prst="rect">
                    <a:avLst/>
                  </a:prstGeom>
                  <a:noFill/>
                </pic:spPr>
              </pic:pic>
            </a:graphicData>
          </a:graphic>
          <wp14:sizeRelH relativeFrom="margin">
            <wp14:pctWidth>0</wp14:pctWidth>
          </wp14:sizeRelH>
          <wp14:sizeRelV relativeFrom="margin">
            <wp14:pctHeight>0</wp14:pctHeight>
          </wp14:sizeRelV>
        </wp:anchor>
      </w:drawing>
    </w:r>
  </w:p>
  <w:p w14:paraId="6AD6FDC2" w14:textId="77777777" w:rsidR="000C7DA6" w:rsidRDefault="00000000" w:rsidP="001115A5">
    <w:pPr>
      <w:pStyle w:val="Encabezado"/>
    </w:pPr>
  </w:p>
  <w:p w14:paraId="54D1E1E7" w14:textId="77777777" w:rsidR="001115A5" w:rsidRDefault="00000000" w:rsidP="001115A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51A9D"/>
    <w:multiLevelType w:val="hybridMultilevel"/>
    <w:tmpl w:val="92A08358"/>
    <w:lvl w:ilvl="0" w:tplc="33524470">
      <w:start w:val="1"/>
      <w:numFmt w:val="bullet"/>
      <w:pStyle w:val="Prrafodelista"/>
      <w:lvlText w:val=""/>
      <w:lvlJc w:val="left"/>
      <w:pPr>
        <w:ind w:left="786"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48441A30"/>
    <w:multiLevelType w:val="multilevel"/>
    <w:tmpl w:val="D144B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562186">
    <w:abstractNumId w:val="1"/>
  </w:num>
  <w:num w:numId="2" w16cid:durableId="578832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A49"/>
    <w:rsid w:val="000247F8"/>
    <w:rsid w:val="00061782"/>
    <w:rsid w:val="001E7100"/>
    <w:rsid w:val="00233DF5"/>
    <w:rsid w:val="00265B74"/>
    <w:rsid w:val="00291D9E"/>
    <w:rsid w:val="00440A49"/>
    <w:rsid w:val="00490D5A"/>
    <w:rsid w:val="00593F1E"/>
    <w:rsid w:val="005D1F15"/>
    <w:rsid w:val="005D59EC"/>
    <w:rsid w:val="00656A48"/>
    <w:rsid w:val="006A7C35"/>
    <w:rsid w:val="00710761"/>
    <w:rsid w:val="007F5576"/>
    <w:rsid w:val="008A672F"/>
    <w:rsid w:val="00922983"/>
    <w:rsid w:val="009430BD"/>
    <w:rsid w:val="009D08F6"/>
    <w:rsid w:val="009E56A2"/>
    <w:rsid w:val="00AF2F6B"/>
    <w:rsid w:val="00B50709"/>
    <w:rsid w:val="00B55C99"/>
    <w:rsid w:val="00D95DFB"/>
    <w:rsid w:val="00E859CE"/>
    <w:rsid w:val="00F422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E96B2"/>
  <w15:chartTrackingRefBased/>
  <w15:docId w15:val="{DBBA8ED5-38BE-4EF0-9ACA-7CAF8F454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C35"/>
    <w:pPr>
      <w:spacing w:after="200" w:line="276" w:lineRule="auto"/>
    </w:pPr>
    <w:rPr>
      <w:rFonts w:eastAsiaTheme="minorEastAsia"/>
      <w:lang w:eastAsia="es-CO"/>
    </w:rPr>
  </w:style>
  <w:style w:type="paragraph" w:styleId="Ttulo1">
    <w:name w:val="heading 1"/>
    <w:basedOn w:val="Normal"/>
    <w:link w:val="Ttulo1Car"/>
    <w:autoRedefine/>
    <w:uiPriority w:val="9"/>
    <w:qFormat/>
    <w:rsid w:val="00B55C99"/>
    <w:pPr>
      <w:spacing w:after="0" w:line="480" w:lineRule="auto"/>
      <w:jc w:val="center"/>
      <w:outlineLvl w:val="0"/>
    </w:pPr>
    <w:rPr>
      <w:rFonts w:ascii="Times New Roman" w:eastAsia="Times New Roman" w:hAnsi="Times New Roman" w:cs="Arial"/>
      <w:b/>
      <w:bCs/>
      <w:kern w:val="36"/>
      <w:sz w:val="24"/>
      <w:szCs w:val="24"/>
      <w:lang w:eastAsia="en-US"/>
    </w:rPr>
  </w:style>
  <w:style w:type="paragraph" w:styleId="Ttulo2">
    <w:name w:val="heading 2"/>
    <w:basedOn w:val="Normal"/>
    <w:next w:val="Normal"/>
    <w:link w:val="Ttulo2Car"/>
    <w:autoRedefine/>
    <w:uiPriority w:val="9"/>
    <w:unhideWhenUsed/>
    <w:qFormat/>
    <w:rsid w:val="00B55C99"/>
    <w:pPr>
      <w:keepNext/>
      <w:keepLines/>
      <w:spacing w:after="0" w:line="480" w:lineRule="auto"/>
      <w:jc w:val="both"/>
      <w:outlineLvl w:val="1"/>
    </w:pPr>
    <w:rPr>
      <w:rFonts w:ascii="Times New Roman" w:eastAsia="Times New Roman" w:hAnsi="Times New Roman" w:cs="Times New Roman"/>
      <w:b/>
      <w:sz w:val="24"/>
      <w:szCs w:val="26"/>
      <w:shd w:val="clear" w:color="auto" w:fill="FFFFFF"/>
      <w:lang w:eastAsia="en-US"/>
    </w:rPr>
  </w:style>
  <w:style w:type="paragraph" w:styleId="Ttulo3">
    <w:name w:val="heading 3"/>
    <w:basedOn w:val="Normal"/>
    <w:next w:val="Normal"/>
    <w:link w:val="Ttulo3Car"/>
    <w:autoRedefine/>
    <w:uiPriority w:val="9"/>
    <w:unhideWhenUsed/>
    <w:qFormat/>
    <w:rsid w:val="00B55C99"/>
    <w:pPr>
      <w:keepNext/>
      <w:keepLines/>
      <w:spacing w:after="0" w:line="480" w:lineRule="auto"/>
      <w:ind w:left="720" w:hanging="720"/>
      <w:outlineLvl w:val="2"/>
    </w:pPr>
    <w:rPr>
      <w:rFonts w:ascii="Times New Roman" w:eastAsia="Calibri" w:hAnsi="Times New Roman" w:cs="Times New Roman"/>
      <w:b/>
      <w:i/>
      <w:color w:val="000000"/>
      <w:sz w:val="24"/>
      <w:szCs w:val="24"/>
      <w:shd w:val="clear" w:color="auto" w:fill="FFFFFF"/>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40A4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40A49"/>
    <w:rPr>
      <w:rFonts w:eastAsiaTheme="minorEastAsia"/>
      <w:lang w:eastAsia="es-CO"/>
    </w:rPr>
  </w:style>
  <w:style w:type="paragraph" w:styleId="Piedepgina">
    <w:name w:val="footer"/>
    <w:basedOn w:val="Normal"/>
    <w:link w:val="PiedepginaCar"/>
    <w:uiPriority w:val="99"/>
    <w:unhideWhenUsed/>
    <w:rsid w:val="00440A4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40A49"/>
    <w:rPr>
      <w:rFonts w:eastAsiaTheme="minorEastAsia"/>
      <w:lang w:eastAsia="es-CO"/>
    </w:rPr>
  </w:style>
  <w:style w:type="paragraph" w:styleId="Textonotapie">
    <w:name w:val="footnote text"/>
    <w:basedOn w:val="Normal"/>
    <w:link w:val="TextonotapieCar"/>
    <w:uiPriority w:val="99"/>
    <w:unhideWhenUsed/>
    <w:rsid w:val="00440A49"/>
    <w:pPr>
      <w:spacing w:after="0" w:line="240" w:lineRule="auto"/>
    </w:pPr>
    <w:rPr>
      <w:rFonts w:ascii="Calibri" w:eastAsia="Times New Roman" w:hAnsi="Calibri" w:cs="Times New Roman"/>
      <w:sz w:val="20"/>
      <w:szCs w:val="20"/>
      <w:lang w:val="en-US" w:bidi="en-US"/>
    </w:rPr>
  </w:style>
  <w:style w:type="character" w:customStyle="1" w:styleId="TextonotapieCar">
    <w:name w:val="Texto nota pie Car"/>
    <w:basedOn w:val="Fuentedeprrafopredeter"/>
    <w:link w:val="Textonotapie"/>
    <w:uiPriority w:val="99"/>
    <w:rsid w:val="00440A49"/>
    <w:rPr>
      <w:rFonts w:ascii="Calibri" w:eastAsia="Times New Roman" w:hAnsi="Calibri" w:cs="Times New Roman"/>
      <w:sz w:val="20"/>
      <w:szCs w:val="20"/>
      <w:lang w:val="en-US" w:eastAsia="es-CO" w:bidi="en-US"/>
    </w:rPr>
  </w:style>
  <w:style w:type="paragraph" w:styleId="NormalWeb">
    <w:name w:val="Normal (Web)"/>
    <w:basedOn w:val="Normal"/>
    <w:uiPriority w:val="99"/>
    <w:unhideWhenUsed/>
    <w:rsid w:val="00440A49"/>
    <w:pPr>
      <w:spacing w:before="100" w:beforeAutospacing="1" w:after="100" w:afterAutospacing="1" w:line="240" w:lineRule="auto"/>
    </w:pPr>
    <w:rPr>
      <w:rFonts w:ascii="Times New Roman" w:eastAsia="Times New Roman" w:hAnsi="Times New Roman" w:cs="Times New Roman"/>
      <w:sz w:val="24"/>
      <w:szCs w:val="24"/>
    </w:rPr>
  </w:style>
  <w:style w:type="character" w:styleId="Refdenotaalpie">
    <w:name w:val="footnote reference"/>
    <w:basedOn w:val="Fuentedeprrafopredeter"/>
    <w:uiPriority w:val="99"/>
    <w:unhideWhenUsed/>
    <w:rsid w:val="00440A49"/>
    <w:rPr>
      <w:vertAlign w:val="superscript"/>
    </w:rPr>
  </w:style>
  <w:style w:type="character" w:styleId="Hipervnculo">
    <w:name w:val="Hyperlink"/>
    <w:basedOn w:val="Fuentedeprrafopredeter"/>
    <w:uiPriority w:val="99"/>
    <w:unhideWhenUsed/>
    <w:rsid w:val="00440A49"/>
    <w:rPr>
      <w:color w:val="0563C1" w:themeColor="hyperlink"/>
      <w:u w:val="single"/>
    </w:rPr>
  </w:style>
  <w:style w:type="paragraph" w:customStyle="1" w:styleId="show">
    <w:name w:val="show"/>
    <w:basedOn w:val="Normal"/>
    <w:rsid w:val="00440A49"/>
    <w:pPr>
      <w:spacing w:before="100" w:beforeAutospacing="1" w:after="100" w:afterAutospacing="1" w:line="240" w:lineRule="auto"/>
    </w:pPr>
    <w:rPr>
      <w:rFonts w:ascii="Times New Roman" w:eastAsia="Times New Roman" w:hAnsi="Times New Roman" w:cs="Times New Roman"/>
      <w:sz w:val="24"/>
      <w:szCs w:val="24"/>
    </w:rPr>
  </w:style>
  <w:style w:type="character" w:styleId="Mencinsinresolver">
    <w:name w:val="Unresolved Mention"/>
    <w:basedOn w:val="Fuentedeprrafopredeter"/>
    <w:uiPriority w:val="99"/>
    <w:semiHidden/>
    <w:unhideWhenUsed/>
    <w:rsid w:val="00440A49"/>
    <w:rPr>
      <w:color w:val="605E5C"/>
      <w:shd w:val="clear" w:color="auto" w:fill="E1DFDD"/>
    </w:rPr>
  </w:style>
  <w:style w:type="character" w:customStyle="1" w:styleId="Ttulo1Car">
    <w:name w:val="Título 1 Car"/>
    <w:basedOn w:val="Fuentedeprrafopredeter"/>
    <w:link w:val="Ttulo1"/>
    <w:uiPriority w:val="9"/>
    <w:rsid w:val="00B55C99"/>
    <w:rPr>
      <w:rFonts w:ascii="Times New Roman" w:eastAsia="Times New Roman" w:hAnsi="Times New Roman" w:cs="Arial"/>
      <w:b/>
      <w:bCs/>
      <w:kern w:val="36"/>
      <w:sz w:val="24"/>
      <w:szCs w:val="24"/>
    </w:rPr>
  </w:style>
  <w:style w:type="character" w:customStyle="1" w:styleId="Ttulo2Car">
    <w:name w:val="Título 2 Car"/>
    <w:basedOn w:val="Fuentedeprrafopredeter"/>
    <w:link w:val="Ttulo2"/>
    <w:uiPriority w:val="9"/>
    <w:rsid w:val="00B55C99"/>
    <w:rPr>
      <w:rFonts w:ascii="Times New Roman" w:eastAsia="Times New Roman" w:hAnsi="Times New Roman" w:cs="Times New Roman"/>
      <w:b/>
      <w:sz w:val="24"/>
      <w:szCs w:val="26"/>
    </w:rPr>
  </w:style>
  <w:style w:type="character" w:customStyle="1" w:styleId="Ttulo3Car">
    <w:name w:val="Título 3 Car"/>
    <w:basedOn w:val="Fuentedeprrafopredeter"/>
    <w:link w:val="Ttulo3"/>
    <w:uiPriority w:val="9"/>
    <w:rsid w:val="00B55C99"/>
    <w:rPr>
      <w:rFonts w:ascii="Times New Roman" w:eastAsia="Calibri" w:hAnsi="Times New Roman" w:cs="Times New Roman"/>
      <w:b/>
      <w:i/>
      <w:color w:val="000000"/>
      <w:sz w:val="24"/>
      <w:szCs w:val="24"/>
    </w:rPr>
  </w:style>
  <w:style w:type="paragraph" w:styleId="Prrafodelista">
    <w:name w:val="List Paragraph"/>
    <w:basedOn w:val="Normal"/>
    <w:autoRedefine/>
    <w:uiPriority w:val="34"/>
    <w:qFormat/>
    <w:rsid w:val="00B55C99"/>
    <w:pPr>
      <w:numPr>
        <w:numId w:val="2"/>
      </w:numPr>
      <w:spacing w:after="0" w:line="480" w:lineRule="auto"/>
    </w:pPr>
    <w:rPr>
      <w:rFonts w:ascii="Times New Roman" w:eastAsia="Calibri" w:hAnsi="Times New Roman" w:cs="Times New Roman"/>
      <w:sz w:val="24"/>
      <w:lang w:eastAsia="en-US"/>
    </w:rPr>
  </w:style>
  <w:style w:type="table" w:styleId="Tablaconcuadrcula">
    <w:name w:val="Table Grid"/>
    <w:basedOn w:val="Tablanormal"/>
    <w:uiPriority w:val="39"/>
    <w:rsid w:val="00B55C99"/>
    <w:pPr>
      <w:spacing w:after="0" w:line="240" w:lineRule="auto"/>
    </w:pPr>
    <w:rPr>
      <w:rFonts w:ascii="Times New Roman" w:eastAsia="Calibri"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B55C99"/>
    <w:pPr>
      <w:spacing w:after="0" w:line="480" w:lineRule="auto"/>
      <w:jc w:val="both"/>
    </w:pPr>
    <w:rPr>
      <w:rFonts w:ascii="Times New Roman" w:eastAsia="Calibri" w:hAnsi="Times New Roman" w:cs="Times New Roman"/>
      <w:b/>
      <w:bCs/>
      <w:sz w:val="24"/>
      <w:szCs w:val="20"/>
      <w:lang w:eastAsia="en-US"/>
    </w:rPr>
  </w:style>
  <w:style w:type="paragraph" w:styleId="Sinespaciado">
    <w:name w:val="No Spacing"/>
    <w:uiPriority w:val="1"/>
    <w:qFormat/>
    <w:rsid w:val="00B55C99"/>
    <w:pPr>
      <w:spacing w:after="0" w:line="240" w:lineRule="auto"/>
    </w:pPr>
    <w:rPr>
      <w:rFonts w:eastAsiaTheme="minorEastAsia"/>
      <w:lang w:eastAsia="es-CO"/>
    </w:rPr>
  </w:style>
  <w:style w:type="character" w:styleId="Textoennegrita">
    <w:name w:val="Strong"/>
    <w:basedOn w:val="Fuentedeprrafopredeter"/>
    <w:uiPriority w:val="22"/>
    <w:qFormat/>
    <w:rsid w:val="00291D9E"/>
    <w:rPr>
      <w:b/>
      <w:bCs/>
    </w:rPr>
  </w:style>
  <w:style w:type="paragraph" w:styleId="Bibliografa">
    <w:name w:val="Bibliography"/>
    <w:basedOn w:val="Normal"/>
    <w:next w:val="Normal"/>
    <w:uiPriority w:val="37"/>
    <w:unhideWhenUsed/>
    <w:rsid w:val="001E7100"/>
    <w:pPr>
      <w:spacing w:after="0" w:line="480" w:lineRule="auto"/>
      <w:ind w:firstLine="720"/>
      <w:jc w:val="both"/>
    </w:pPr>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931568">
      <w:bodyDiv w:val="1"/>
      <w:marLeft w:val="0"/>
      <w:marRight w:val="0"/>
      <w:marTop w:val="0"/>
      <w:marBottom w:val="0"/>
      <w:divBdr>
        <w:top w:val="none" w:sz="0" w:space="0" w:color="auto"/>
        <w:left w:val="none" w:sz="0" w:space="0" w:color="auto"/>
        <w:bottom w:val="none" w:sz="0" w:space="0" w:color="auto"/>
        <w:right w:val="none" w:sz="0" w:space="0" w:color="auto"/>
      </w:divBdr>
    </w:div>
    <w:div w:id="631978480">
      <w:bodyDiv w:val="1"/>
      <w:marLeft w:val="0"/>
      <w:marRight w:val="0"/>
      <w:marTop w:val="0"/>
      <w:marBottom w:val="0"/>
      <w:divBdr>
        <w:top w:val="none" w:sz="0" w:space="0" w:color="auto"/>
        <w:left w:val="none" w:sz="0" w:space="0" w:color="auto"/>
        <w:bottom w:val="none" w:sz="0" w:space="0" w:color="auto"/>
        <w:right w:val="none" w:sz="0" w:space="0" w:color="auto"/>
      </w:divBdr>
    </w:div>
    <w:div w:id="655496121">
      <w:bodyDiv w:val="1"/>
      <w:marLeft w:val="0"/>
      <w:marRight w:val="0"/>
      <w:marTop w:val="0"/>
      <w:marBottom w:val="0"/>
      <w:divBdr>
        <w:top w:val="none" w:sz="0" w:space="0" w:color="auto"/>
        <w:left w:val="none" w:sz="0" w:space="0" w:color="auto"/>
        <w:bottom w:val="none" w:sz="0" w:space="0" w:color="auto"/>
        <w:right w:val="none" w:sz="0" w:space="0" w:color="auto"/>
      </w:divBdr>
    </w:div>
    <w:div w:id="705106189">
      <w:bodyDiv w:val="1"/>
      <w:marLeft w:val="0"/>
      <w:marRight w:val="0"/>
      <w:marTop w:val="0"/>
      <w:marBottom w:val="0"/>
      <w:divBdr>
        <w:top w:val="none" w:sz="0" w:space="0" w:color="auto"/>
        <w:left w:val="none" w:sz="0" w:space="0" w:color="auto"/>
        <w:bottom w:val="none" w:sz="0" w:space="0" w:color="auto"/>
        <w:right w:val="none" w:sz="0" w:space="0" w:color="auto"/>
      </w:divBdr>
    </w:div>
    <w:div w:id="1105230976">
      <w:bodyDiv w:val="1"/>
      <w:marLeft w:val="0"/>
      <w:marRight w:val="0"/>
      <w:marTop w:val="0"/>
      <w:marBottom w:val="0"/>
      <w:divBdr>
        <w:top w:val="none" w:sz="0" w:space="0" w:color="auto"/>
        <w:left w:val="none" w:sz="0" w:space="0" w:color="auto"/>
        <w:bottom w:val="none" w:sz="0" w:space="0" w:color="auto"/>
        <w:right w:val="none" w:sz="0" w:space="0" w:color="auto"/>
      </w:divBdr>
    </w:div>
    <w:div w:id="1117287231">
      <w:bodyDiv w:val="1"/>
      <w:marLeft w:val="0"/>
      <w:marRight w:val="0"/>
      <w:marTop w:val="0"/>
      <w:marBottom w:val="0"/>
      <w:divBdr>
        <w:top w:val="none" w:sz="0" w:space="0" w:color="auto"/>
        <w:left w:val="none" w:sz="0" w:space="0" w:color="auto"/>
        <w:bottom w:val="none" w:sz="0" w:space="0" w:color="auto"/>
        <w:right w:val="none" w:sz="0" w:space="0" w:color="auto"/>
      </w:divBdr>
    </w:div>
    <w:div w:id="1216241389">
      <w:bodyDiv w:val="1"/>
      <w:marLeft w:val="0"/>
      <w:marRight w:val="0"/>
      <w:marTop w:val="0"/>
      <w:marBottom w:val="0"/>
      <w:divBdr>
        <w:top w:val="none" w:sz="0" w:space="0" w:color="auto"/>
        <w:left w:val="none" w:sz="0" w:space="0" w:color="auto"/>
        <w:bottom w:val="none" w:sz="0" w:space="0" w:color="auto"/>
        <w:right w:val="none" w:sz="0" w:space="0" w:color="auto"/>
      </w:divBdr>
    </w:div>
    <w:div w:id="1266690887">
      <w:bodyDiv w:val="1"/>
      <w:marLeft w:val="0"/>
      <w:marRight w:val="0"/>
      <w:marTop w:val="0"/>
      <w:marBottom w:val="0"/>
      <w:divBdr>
        <w:top w:val="none" w:sz="0" w:space="0" w:color="auto"/>
        <w:left w:val="none" w:sz="0" w:space="0" w:color="auto"/>
        <w:bottom w:val="none" w:sz="0" w:space="0" w:color="auto"/>
        <w:right w:val="none" w:sz="0" w:space="0" w:color="auto"/>
      </w:divBdr>
    </w:div>
    <w:div w:id="1307736434">
      <w:bodyDiv w:val="1"/>
      <w:marLeft w:val="0"/>
      <w:marRight w:val="0"/>
      <w:marTop w:val="0"/>
      <w:marBottom w:val="0"/>
      <w:divBdr>
        <w:top w:val="none" w:sz="0" w:space="0" w:color="auto"/>
        <w:left w:val="none" w:sz="0" w:space="0" w:color="auto"/>
        <w:bottom w:val="none" w:sz="0" w:space="0" w:color="auto"/>
        <w:right w:val="none" w:sz="0" w:space="0" w:color="auto"/>
      </w:divBdr>
    </w:div>
    <w:div w:id="1662156175">
      <w:bodyDiv w:val="1"/>
      <w:marLeft w:val="0"/>
      <w:marRight w:val="0"/>
      <w:marTop w:val="0"/>
      <w:marBottom w:val="0"/>
      <w:divBdr>
        <w:top w:val="none" w:sz="0" w:space="0" w:color="auto"/>
        <w:left w:val="none" w:sz="0" w:space="0" w:color="auto"/>
        <w:bottom w:val="none" w:sz="0" w:space="0" w:color="auto"/>
        <w:right w:val="none" w:sz="0" w:space="0" w:color="auto"/>
      </w:divBdr>
    </w:div>
    <w:div w:id="1708484562">
      <w:bodyDiv w:val="1"/>
      <w:marLeft w:val="0"/>
      <w:marRight w:val="0"/>
      <w:marTop w:val="0"/>
      <w:marBottom w:val="0"/>
      <w:divBdr>
        <w:top w:val="none" w:sz="0" w:space="0" w:color="auto"/>
        <w:left w:val="none" w:sz="0" w:space="0" w:color="auto"/>
        <w:bottom w:val="none" w:sz="0" w:space="0" w:color="auto"/>
        <w:right w:val="none" w:sz="0" w:space="0" w:color="auto"/>
      </w:divBdr>
    </w:div>
    <w:div w:id="1718502604">
      <w:bodyDiv w:val="1"/>
      <w:marLeft w:val="0"/>
      <w:marRight w:val="0"/>
      <w:marTop w:val="0"/>
      <w:marBottom w:val="0"/>
      <w:divBdr>
        <w:top w:val="none" w:sz="0" w:space="0" w:color="auto"/>
        <w:left w:val="none" w:sz="0" w:space="0" w:color="auto"/>
        <w:bottom w:val="none" w:sz="0" w:space="0" w:color="auto"/>
        <w:right w:val="none" w:sz="0" w:space="0" w:color="auto"/>
      </w:divBdr>
    </w:div>
    <w:div w:id="1778478563">
      <w:bodyDiv w:val="1"/>
      <w:marLeft w:val="0"/>
      <w:marRight w:val="0"/>
      <w:marTop w:val="0"/>
      <w:marBottom w:val="0"/>
      <w:divBdr>
        <w:top w:val="none" w:sz="0" w:space="0" w:color="auto"/>
        <w:left w:val="none" w:sz="0" w:space="0" w:color="auto"/>
        <w:bottom w:val="none" w:sz="0" w:space="0" w:color="auto"/>
        <w:right w:val="none" w:sz="0" w:space="0" w:color="auto"/>
      </w:divBdr>
    </w:div>
    <w:div w:id="1892693119">
      <w:bodyDiv w:val="1"/>
      <w:marLeft w:val="0"/>
      <w:marRight w:val="0"/>
      <w:marTop w:val="0"/>
      <w:marBottom w:val="0"/>
      <w:divBdr>
        <w:top w:val="none" w:sz="0" w:space="0" w:color="auto"/>
        <w:left w:val="none" w:sz="0" w:space="0" w:color="auto"/>
        <w:bottom w:val="none" w:sz="0" w:space="0" w:color="auto"/>
        <w:right w:val="none" w:sz="0" w:space="0" w:color="auto"/>
      </w:divBdr>
    </w:div>
    <w:div w:id="2061585216">
      <w:bodyDiv w:val="1"/>
      <w:marLeft w:val="0"/>
      <w:marRight w:val="0"/>
      <w:marTop w:val="0"/>
      <w:marBottom w:val="0"/>
      <w:divBdr>
        <w:top w:val="none" w:sz="0" w:space="0" w:color="auto"/>
        <w:left w:val="none" w:sz="0" w:space="0" w:color="auto"/>
        <w:bottom w:val="none" w:sz="0" w:space="0" w:color="auto"/>
        <w:right w:val="none" w:sz="0" w:space="0" w:color="auto"/>
      </w:divBdr>
    </w:div>
    <w:div w:id="207087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Layout" Target="diagrams/layou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419F0B7-39AB-4D1A-A9C6-175A7F6EB7A8}" type="doc">
      <dgm:prSet loTypeId="urn:microsoft.com/office/officeart/2005/8/layout/bProcess2" loCatId="process" qsTypeId="urn:microsoft.com/office/officeart/2005/8/quickstyle/simple1" qsCatId="simple" csTypeId="urn:microsoft.com/office/officeart/2005/8/colors/accent6_1" csCatId="accent6" phldr="1"/>
      <dgm:spPr/>
      <dgm:t>
        <a:bodyPr/>
        <a:lstStyle/>
        <a:p>
          <a:endParaRPr lang="es-CO"/>
        </a:p>
      </dgm:t>
    </dgm:pt>
    <dgm:pt modelId="{4360C476-F9F8-4A22-8A6E-B36EE750BB34}">
      <dgm:prSet phldrT="[Texto]" custT="1"/>
      <dgm:spPr/>
      <dgm:t>
        <a:bodyPr/>
        <a:lstStyle/>
        <a:p>
          <a:r>
            <a:rPr lang="es-CO" sz="900"/>
            <a:t>Revisión de literatura Gris</a:t>
          </a:r>
        </a:p>
      </dgm:t>
    </dgm:pt>
    <dgm:pt modelId="{4032808F-CDE8-4F3B-AA6D-8614F799FA34}" type="parTrans" cxnId="{65C2131F-5EFF-411E-9883-BCA5E1BA31DF}">
      <dgm:prSet/>
      <dgm:spPr/>
      <dgm:t>
        <a:bodyPr/>
        <a:lstStyle/>
        <a:p>
          <a:endParaRPr lang="es-CO"/>
        </a:p>
      </dgm:t>
    </dgm:pt>
    <dgm:pt modelId="{0D52F58F-9FDD-46D0-BC28-476C0F13EB6B}" type="sibTrans" cxnId="{65C2131F-5EFF-411E-9883-BCA5E1BA31DF}">
      <dgm:prSet/>
      <dgm:spPr/>
      <dgm:t>
        <a:bodyPr/>
        <a:lstStyle/>
        <a:p>
          <a:endParaRPr lang="es-CO"/>
        </a:p>
      </dgm:t>
    </dgm:pt>
    <dgm:pt modelId="{A6F931FB-671A-4F15-A49E-8992CA36F831}">
      <dgm:prSet phldrT="[Texto]" custT="1"/>
      <dgm:spPr/>
      <dgm:t>
        <a:bodyPr/>
        <a:lstStyle/>
        <a:p>
          <a:r>
            <a:rPr lang="es-CO" sz="900"/>
            <a:t>Selección de base de datos y fuentes de información </a:t>
          </a:r>
        </a:p>
      </dgm:t>
    </dgm:pt>
    <dgm:pt modelId="{E34F0C1B-61BE-4986-BDFC-94F62A15EC0B}" type="parTrans" cxnId="{5CBF65EF-57CC-4404-B142-323E471481C2}">
      <dgm:prSet/>
      <dgm:spPr/>
      <dgm:t>
        <a:bodyPr/>
        <a:lstStyle/>
        <a:p>
          <a:endParaRPr lang="es-CO"/>
        </a:p>
      </dgm:t>
    </dgm:pt>
    <dgm:pt modelId="{2E49C502-DABB-4871-A0DC-03A474132196}" type="sibTrans" cxnId="{5CBF65EF-57CC-4404-B142-323E471481C2}">
      <dgm:prSet/>
      <dgm:spPr/>
      <dgm:t>
        <a:bodyPr/>
        <a:lstStyle/>
        <a:p>
          <a:endParaRPr lang="es-CO"/>
        </a:p>
      </dgm:t>
    </dgm:pt>
    <dgm:pt modelId="{87019AF0-A617-4134-98F0-75C21251EA5B}">
      <dgm:prSet phldrT="[Texto]" custT="1"/>
      <dgm:spPr/>
      <dgm:t>
        <a:bodyPr/>
        <a:lstStyle/>
        <a:p>
          <a:r>
            <a:rPr lang="es-CO" sz="900"/>
            <a:t>Construcción de la ecuación de búsqueda </a:t>
          </a:r>
        </a:p>
      </dgm:t>
    </dgm:pt>
    <dgm:pt modelId="{7EB69B1C-218F-4220-891E-3D602F386CB2}" type="parTrans" cxnId="{4C089021-C04F-4176-84F6-745E93C6B186}">
      <dgm:prSet/>
      <dgm:spPr/>
      <dgm:t>
        <a:bodyPr/>
        <a:lstStyle/>
        <a:p>
          <a:endParaRPr lang="es-CO"/>
        </a:p>
      </dgm:t>
    </dgm:pt>
    <dgm:pt modelId="{3CA87B8D-4428-4FEC-966E-99D87BE76137}" type="sibTrans" cxnId="{4C089021-C04F-4176-84F6-745E93C6B186}">
      <dgm:prSet/>
      <dgm:spPr/>
      <dgm:t>
        <a:bodyPr/>
        <a:lstStyle/>
        <a:p>
          <a:endParaRPr lang="es-CO"/>
        </a:p>
      </dgm:t>
    </dgm:pt>
    <dgm:pt modelId="{ABFE69E6-CF24-4F20-98BF-7F16D4C79AD8}">
      <dgm:prSet custT="1"/>
      <dgm:spPr/>
      <dgm:t>
        <a:bodyPr/>
        <a:lstStyle/>
        <a:p>
          <a:r>
            <a:rPr lang="es-CO" sz="900"/>
            <a:t>Definición de los críterios de inclusión y exclusión Medionte ánalsis bibliométrico </a:t>
          </a:r>
        </a:p>
      </dgm:t>
    </dgm:pt>
    <dgm:pt modelId="{452ABA2C-DC18-459D-9D49-CCA04884184F}" type="sibTrans" cxnId="{43263503-DB5E-4299-9464-F46F4AA76328}">
      <dgm:prSet/>
      <dgm:spPr/>
      <dgm:t>
        <a:bodyPr/>
        <a:lstStyle/>
        <a:p>
          <a:endParaRPr lang="es-CO"/>
        </a:p>
      </dgm:t>
    </dgm:pt>
    <dgm:pt modelId="{F9E2C7B7-8289-4221-B5AF-0667FFACE26C}" type="parTrans" cxnId="{43263503-DB5E-4299-9464-F46F4AA76328}">
      <dgm:prSet/>
      <dgm:spPr/>
      <dgm:t>
        <a:bodyPr/>
        <a:lstStyle/>
        <a:p>
          <a:endParaRPr lang="es-CO"/>
        </a:p>
      </dgm:t>
    </dgm:pt>
    <dgm:pt modelId="{21776A27-FF4C-4EB3-ABF2-F9212B8D7047}">
      <dgm:prSet custT="1"/>
      <dgm:spPr/>
      <dgm:t>
        <a:bodyPr/>
        <a:lstStyle/>
        <a:p>
          <a:r>
            <a:rPr lang="es-CO" sz="900"/>
            <a:t>Aáalisis de títulos y resúmenes </a:t>
          </a:r>
        </a:p>
      </dgm:t>
    </dgm:pt>
    <dgm:pt modelId="{BD86FEB3-C8A5-4299-8F91-BFD8364EFB68}" type="sibTrans" cxnId="{819467CA-5E56-4964-AD6A-20430DB1AC76}">
      <dgm:prSet/>
      <dgm:spPr/>
      <dgm:t>
        <a:bodyPr/>
        <a:lstStyle/>
        <a:p>
          <a:endParaRPr lang="es-CO"/>
        </a:p>
      </dgm:t>
    </dgm:pt>
    <dgm:pt modelId="{0C80C4C8-0D75-4616-A283-C8B89EBF6179}" type="parTrans" cxnId="{819467CA-5E56-4964-AD6A-20430DB1AC76}">
      <dgm:prSet/>
      <dgm:spPr/>
      <dgm:t>
        <a:bodyPr/>
        <a:lstStyle/>
        <a:p>
          <a:endParaRPr lang="es-CO"/>
        </a:p>
      </dgm:t>
    </dgm:pt>
    <dgm:pt modelId="{0C277EE8-54A7-4CBA-B012-AEBEEC9D0F0F}">
      <dgm:prSet custT="1"/>
      <dgm:spPr/>
      <dgm:t>
        <a:bodyPr/>
        <a:lstStyle/>
        <a:p>
          <a:r>
            <a:rPr lang="es-CO" sz="900"/>
            <a:t>Selección de articulos para lectura </a:t>
          </a:r>
        </a:p>
      </dgm:t>
    </dgm:pt>
    <dgm:pt modelId="{7763A782-456C-426D-99FB-C706F739F8A7}" type="sibTrans" cxnId="{0A460C7D-6BE0-47CD-822E-BB18FF780D87}">
      <dgm:prSet/>
      <dgm:spPr/>
      <dgm:t>
        <a:bodyPr/>
        <a:lstStyle/>
        <a:p>
          <a:endParaRPr lang="es-CO"/>
        </a:p>
      </dgm:t>
    </dgm:pt>
    <dgm:pt modelId="{C8A413E1-FBC8-4B26-AF89-E62628D6A195}" type="parTrans" cxnId="{0A460C7D-6BE0-47CD-822E-BB18FF780D87}">
      <dgm:prSet/>
      <dgm:spPr/>
      <dgm:t>
        <a:bodyPr/>
        <a:lstStyle/>
        <a:p>
          <a:endParaRPr lang="es-CO"/>
        </a:p>
      </dgm:t>
    </dgm:pt>
    <dgm:pt modelId="{0A9E3A67-1A67-4445-9ECF-7FDA5DA29F5A}">
      <dgm:prSet custT="1"/>
      <dgm:spPr/>
      <dgm:t>
        <a:bodyPr/>
        <a:lstStyle/>
        <a:p>
          <a:r>
            <a:rPr lang="es-CO" sz="900"/>
            <a:t>Extracción de Información </a:t>
          </a:r>
        </a:p>
      </dgm:t>
    </dgm:pt>
    <dgm:pt modelId="{EFA81645-F8A9-43B2-8171-ED3F6E890A34}" type="sibTrans" cxnId="{6DC7CB6A-1950-467A-BD07-46AC4157D37E}">
      <dgm:prSet/>
      <dgm:spPr/>
      <dgm:t>
        <a:bodyPr/>
        <a:lstStyle/>
        <a:p>
          <a:endParaRPr lang="es-CO"/>
        </a:p>
      </dgm:t>
    </dgm:pt>
    <dgm:pt modelId="{1A2B51F8-9125-4417-A2FB-1564F80DD22E}" type="parTrans" cxnId="{6DC7CB6A-1950-467A-BD07-46AC4157D37E}">
      <dgm:prSet/>
      <dgm:spPr/>
      <dgm:t>
        <a:bodyPr/>
        <a:lstStyle/>
        <a:p>
          <a:endParaRPr lang="es-CO"/>
        </a:p>
      </dgm:t>
    </dgm:pt>
    <dgm:pt modelId="{070C239F-E144-462A-BC25-0132A11A1216}" type="pres">
      <dgm:prSet presAssocID="{8419F0B7-39AB-4D1A-A9C6-175A7F6EB7A8}" presName="diagram" presStyleCnt="0">
        <dgm:presLayoutVars>
          <dgm:dir/>
          <dgm:resizeHandles/>
        </dgm:presLayoutVars>
      </dgm:prSet>
      <dgm:spPr/>
    </dgm:pt>
    <dgm:pt modelId="{F64A6373-9898-4300-B90C-4C7F14AD28C3}" type="pres">
      <dgm:prSet presAssocID="{4360C476-F9F8-4A22-8A6E-B36EE750BB34}" presName="firstNode" presStyleLbl="node1" presStyleIdx="0" presStyleCnt="7" custScaleX="139098" custScaleY="94652">
        <dgm:presLayoutVars>
          <dgm:bulletEnabled val="1"/>
        </dgm:presLayoutVars>
      </dgm:prSet>
      <dgm:spPr/>
    </dgm:pt>
    <dgm:pt modelId="{2C1D2070-F6D3-444E-B8AD-7E3AB4E0528E}" type="pres">
      <dgm:prSet presAssocID="{0D52F58F-9FDD-46D0-BC28-476C0F13EB6B}" presName="sibTrans" presStyleLbl="sibTrans2D1" presStyleIdx="0" presStyleCnt="6"/>
      <dgm:spPr/>
    </dgm:pt>
    <dgm:pt modelId="{E1BB9EBE-3431-422A-963B-098293E86686}" type="pres">
      <dgm:prSet presAssocID="{A6F931FB-671A-4F15-A49E-8992CA36F831}" presName="middleNode" presStyleCnt="0"/>
      <dgm:spPr/>
    </dgm:pt>
    <dgm:pt modelId="{0CBB719E-253E-404E-AFE7-BFC03D2AD43E}" type="pres">
      <dgm:prSet presAssocID="{A6F931FB-671A-4F15-A49E-8992CA36F831}" presName="padding" presStyleLbl="node1" presStyleIdx="0" presStyleCnt="7"/>
      <dgm:spPr/>
    </dgm:pt>
    <dgm:pt modelId="{D9C43FD4-2193-49A5-BF38-A20A5AF9E9B2}" type="pres">
      <dgm:prSet presAssocID="{A6F931FB-671A-4F15-A49E-8992CA36F831}" presName="shape" presStyleLbl="node1" presStyleIdx="1" presStyleCnt="7" custScaleX="286039" custScaleY="169997">
        <dgm:presLayoutVars>
          <dgm:bulletEnabled val="1"/>
        </dgm:presLayoutVars>
      </dgm:prSet>
      <dgm:spPr/>
    </dgm:pt>
    <dgm:pt modelId="{98DDE382-7861-4AE8-B415-80D9ABE207CA}" type="pres">
      <dgm:prSet presAssocID="{2E49C502-DABB-4871-A0DC-03A474132196}" presName="sibTrans" presStyleLbl="sibTrans2D1" presStyleIdx="1" presStyleCnt="6"/>
      <dgm:spPr/>
    </dgm:pt>
    <dgm:pt modelId="{64A68031-BE21-43FB-BFF8-DDB037C3B461}" type="pres">
      <dgm:prSet presAssocID="{87019AF0-A617-4134-98F0-75C21251EA5B}" presName="middleNode" presStyleCnt="0"/>
      <dgm:spPr/>
    </dgm:pt>
    <dgm:pt modelId="{EFD72D94-343C-42AF-B54B-F76B1AF06982}" type="pres">
      <dgm:prSet presAssocID="{87019AF0-A617-4134-98F0-75C21251EA5B}" presName="padding" presStyleLbl="node1" presStyleIdx="1" presStyleCnt="7"/>
      <dgm:spPr/>
    </dgm:pt>
    <dgm:pt modelId="{76981FA8-7497-4485-BDAB-AC67ED115C49}" type="pres">
      <dgm:prSet presAssocID="{87019AF0-A617-4134-98F0-75C21251EA5B}" presName="shape" presStyleLbl="node1" presStyleIdx="2" presStyleCnt="7" custScaleX="222180" custScaleY="179680">
        <dgm:presLayoutVars>
          <dgm:bulletEnabled val="1"/>
        </dgm:presLayoutVars>
      </dgm:prSet>
      <dgm:spPr/>
    </dgm:pt>
    <dgm:pt modelId="{F469775F-6980-4EE0-86E4-81CF15A0A609}" type="pres">
      <dgm:prSet presAssocID="{3CA87B8D-4428-4FEC-966E-99D87BE76137}" presName="sibTrans" presStyleLbl="sibTrans2D1" presStyleIdx="2" presStyleCnt="6"/>
      <dgm:spPr/>
    </dgm:pt>
    <dgm:pt modelId="{4710353D-3A0C-46BB-978C-1958BA25826A}" type="pres">
      <dgm:prSet presAssocID="{ABFE69E6-CF24-4F20-98BF-7F16D4C79AD8}" presName="middleNode" presStyleCnt="0"/>
      <dgm:spPr/>
    </dgm:pt>
    <dgm:pt modelId="{B8EEB913-EBDF-49D9-B880-68A622A459FC}" type="pres">
      <dgm:prSet presAssocID="{ABFE69E6-CF24-4F20-98BF-7F16D4C79AD8}" presName="padding" presStyleLbl="node1" presStyleIdx="2" presStyleCnt="7"/>
      <dgm:spPr/>
    </dgm:pt>
    <dgm:pt modelId="{CBAFAF20-6F7D-4CE5-8D9A-C2A26C20CEF7}" type="pres">
      <dgm:prSet presAssocID="{ABFE69E6-CF24-4F20-98BF-7F16D4C79AD8}" presName="shape" presStyleLbl="node1" presStyleIdx="3" presStyleCnt="7" custScaleX="394049" custScaleY="194501">
        <dgm:presLayoutVars>
          <dgm:bulletEnabled val="1"/>
        </dgm:presLayoutVars>
      </dgm:prSet>
      <dgm:spPr/>
    </dgm:pt>
    <dgm:pt modelId="{11C65E4A-1D98-4EF2-9960-DEFB4EC398F9}" type="pres">
      <dgm:prSet presAssocID="{452ABA2C-DC18-459D-9D49-CCA04884184F}" presName="sibTrans" presStyleLbl="sibTrans2D1" presStyleIdx="3" presStyleCnt="6"/>
      <dgm:spPr/>
    </dgm:pt>
    <dgm:pt modelId="{E3DDABD0-6509-4B11-B801-3D50CD084C68}" type="pres">
      <dgm:prSet presAssocID="{21776A27-FF4C-4EB3-ABF2-F9212B8D7047}" presName="middleNode" presStyleCnt="0"/>
      <dgm:spPr/>
    </dgm:pt>
    <dgm:pt modelId="{DEEC5C88-795A-4DC1-9CE0-FFF9B7C08E8D}" type="pres">
      <dgm:prSet presAssocID="{21776A27-FF4C-4EB3-ABF2-F9212B8D7047}" presName="padding" presStyleLbl="node1" presStyleIdx="3" presStyleCnt="7"/>
      <dgm:spPr/>
    </dgm:pt>
    <dgm:pt modelId="{89AC48A6-895D-45BD-81DF-DA11AC709CF5}" type="pres">
      <dgm:prSet presAssocID="{21776A27-FF4C-4EB3-ABF2-F9212B8D7047}" presName="shape" presStyleLbl="node1" presStyleIdx="4" presStyleCnt="7" custScaleX="198345" custScaleY="142518">
        <dgm:presLayoutVars>
          <dgm:bulletEnabled val="1"/>
        </dgm:presLayoutVars>
      </dgm:prSet>
      <dgm:spPr/>
    </dgm:pt>
    <dgm:pt modelId="{BF4E2DAE-16F1-4556-B4CE-770770E3274C}" type="pres">
      <dgm:prSet presAssocID="{BD86FEB3-C8A5-4299-8F91-BFD8364EFB68}" presName="sibTrans" presStyleLbl="sibTrans2D1" presStyleIdx="4" presStyleCnt="6"/>
      <dgm:spPr/>
    </dgm:pt>
    <dgm:pt modelId="{91B2F16F-8503-4C8F-AF4F-94B815E14745}" type="pres">
      <dgm:prSet presAssocID="{0C277EE8-54A7-4CBA-B012-AEBEEC9D0F0F}" presName="middleNode" presStyleCnt="0"/>
      <dgm:spPr/>
    </dgm:pt>
    <dgm:pt modelId="{CC9E1534-23AA-4E3E-B970-888B128B8261}" type="pres">
      <dgm:prSet presAssocID="{0C277EE8-54A7-4CBA-B012-AEBEEC9D0F0F}" presName="padding" presStyleLbl="node1" presStyleIdx="4" presStyleCnt="7"/>
      <dgm:spPr/>
    </dgm:pt>
    <dgm:pt modelId="{B36A72B5-B4C0-41E7-9FC6-EBDAD69F8006}" type="pres">
      <dgm:prSet presAssocID="{0C277EE8-54A7-4CBA-B012-AEBEEC9D0F0F}" presName="shape" presStyleLbl="node1" presStyleIdx="5" presStyleCnt="7" custScaleX="227995" custScaleY="185191">
        <dgm:presLayoutVars>
          <dgm:bulletEnabled val="1"/>
        </dgm:presLayoutVars>
      </dgm:prSet>
      <dgm:spPr/>
    </dgm:pt>
    <dgm:pt modelId="{2B4CA219-FCDF-4DC9-838B-347D66A201C4}" type="pres">
      <dgm:prSet presAssocID="{7763A782-456C-426D-99FB-C706F739F8A7}" presName="sibTrans" presStyleLbl="sibTrans2D1" presStyleIdx="5" presStyleCnt="6"/>
      <dgm:spPr/>
    </dgm:pt>
    <dgm:pt modelId="{7B5734DF-691F-4F33-9E0F-7476F06CB969}" type="pres">
      <dgm:prSet presAssocID="{0A9E3A67-1A67-4445-9ECF-7FDA5DA29F5A}" presName="lastNode" presStyleLbl="node1" presStyleIdx="6" presStyleCnt="7" custScaleX="141849" custScaleY="87861">
        <dgm:presLayoutVars>
          <dgm:bulletEnabled val="1"/>
        </dgm:presLayoutVars>
      </dgm:prSet>
      <dgm:spPr/>
    </dgm:pt>
  </dgm:ptLst>
  <dgm:cxnLst>
    <dgm:cxn modelId="{43263503-DB5E-4299-9464-F46F4AA76328}" srcId="{8419F0B7-39AB-4D1A-A9C6-175A7F6EB7A8}" destId="{ABFE69E6-CF24-4F20-98BF-7F16D4C79AD8}" srcOrd="3" destOrd="0" parTransId="{F9E2C7B7-8289-4221-B5AF-0667FFACE26C}" sibTransId="{452ABA2C-DC18-459D-9D49-CCA04884184F}"/>
    <dgm:cxn modelId="{AB4AC111-AC0D-41D8-9A41-7D2673F41447}" type="presOf" srcId="{0A9E3A67-1A67-4445-9ECF-7FDA5DA29F5A}" destId="{7B5734DF-691F-4F33-9E0F-7476F06CB969}" srcOrd="0" destOrd="0" presId="urn:microsoft.com/office/officeart/2005/8/layout/bProcess2"/>
    <dgm:cxn modelId="{65C2131F-5EFF-411E-9883-BCA5E1BA31DF}" srcId="{8419F0B7-39AB-4D1A-A9C6-175A7F6EB7A8}" destId="{4360C476-F9F8-4A22-8A6E-B36EE750BB34}" srcOrd="0" destOrd="0" parTransId="{4032808F-CDE8-4F3B-AA6D-8614F799FA34}" sibTransId="{0D52F58F-9FDD-46D0-BC28-476C0F13EB6B}"/>
    <dgm:cxn modelId="{4C089021-C04F-4176-84F6-745E93C6B186}" srcId="{8419F0B7-39AB-4D1A-A9C6-175A7F6EB7A8}" destId="{87019AF0-A617-4134-98F0-75C21251EA5B}" srcOrd="2" destOrd="0" parTransId="{7EB69B1C-218F-4220-891E-3D602F386CB2}" sibTransId="{3CA87B8D-4428-4FEC-966E-99D87BE76137}"/>
    <dgm:cxn modelId="{03D80963-ABF1-4699-978E-AEA7E831BB64}" type="presOf" srcId="{4360C476-F9F8-4A22-8A6E-B36EE750BB34}" destId="{F64A6373-9898-4300-B90C-4C7F14AD28C3}" srcOrd="0" destOrd="0" presId="urn:microsoft.com/office/officeart/2005/8/layout/bProcess2"/>
    <dgm:cxn modelId="{1A412F67-DF5D-44CD-BCDD-82996A24CADA}" type="presOf" srcId="{0D52F58F-9FDD-46D0-BC28-476C0F13EB6B}" destId="{2C1D2070-F6D3-444E-B8AD-7E3AB4E0528E}" srcOrd="0" destOrd="0" presId="urn:microsoft.com/office/officeart/2005/8/layout/bProcess2"/>
    <dgm:cxn modelId="{D2069548-DE2D-4EB9-909A-32B17996D8D7}" type="presOf" srcId="{0C277EE8-54A7-4CBA-B012-AEBEEC9D0F0F}" destId="{B36A72B5-B4C0-41E7-9FC6-EBDAD69F8006}" srcOrd="0" destOrd="0" presId="urn:microsoft.com/office/officeart/2005/8/layout/bProcess2"/>
    <dgm:cxn modelId="{6DC7CB6A-1950-467A-BD07-46AC4157D37E}" srcId="{8419F0B7-39AB-4D1A-A9C6-175A7F6EB7A8}" destId="{0A9E3A67-1A67-4445-9ECF-7FDA5DA29F5A}" srcOrd="6" destOrd="0" parTransId="{1A2B51F8-9125-4417-A2FB-1564F80DD22E}" sibTransId="{EFA81645-F8A9-43B2-8171-ED3F6E890A34}"/>
    <dgm:cxn modelId="{2FB4444E-5D7C-42DE-AC0B-B1F95B809FE3}" type="presOf" srcId="{87019AF0-A617-4134-98F0-75C21251EA5B}" destId="{76981FA8-7497-4485-BDAB-AC67ED115C49}" srcOrd="0" destOrd="0" presId="urn:microsoft.com/office/officeart/2005/8/layout/bProcess2"/>
    <dgm:cxn modelId="{AD312A72-9337-4B5E-867D-99B2A3FCE77B}" type="presOf" srcId="{A6F931FB-671A-4F15-A49E-8992CA36F831}" destId="{D9C43FD4-2193-49A5-BF38-A20A5AF9E9B2}" srcOrd="0" destOrd="0" presId="urn:microsoft.com/office/officeart/2005/8/layout/bProcess2"/>
    <dgm:cxn modelId="{0A460C7D-6BE0-47CD-822E-BB18FF780D87}" srcId="{8419F0B7-39AB-4D1A-A9C6-175A7F6EB7A8}" destId="{0C277EE8-54A7-4CBA-B012-AEBEEC9D0F0F}" srcOrd="5" destOrd="0" parTransId="{C8A413E1-FBC8-4B26-AF89-E62628D6A195}" sibTransId="{7763A782-456C-426D-99FB-C706F739F8A7}"/>
    <dgm:cxn modelId="{7FB21A82-4A9B-40CA-8A0C-9A3B21F0FF42}" type="presOf" srcId="{3CA87B8D-4428-4FEC-966E-99D87BE76137}" destId="{F469775F-6980-4EE0-86E4-81CF15A0A609}" srcOrd="0" destOrd="0" presId="urn:microsoft.com/office/officeart/2005/8/layout/bProcess2"/>
    <dgm:cxn modelId="{AC4C77AE-6363-445C-B2A1-2A5F04052800}" type="presOf" srcId="{452ABA2C-DC18-459D-9D49-CCA04884184F}" destId="{11C65E4A-1D98-4EF2-9960-DEFB4EC398F9}" srcOrd="0" destOrd="0" presId="urn:microsoft.com/office/officeart/2005/8/layout/bProcess2"/>
    <dgm:cxn modelId="{382CF4B1-BD77-4341-A7AD-2FFF394189F2}" type="presOf" srcId="{7763A782-456C-426D-99FB-C706F739F8A7}" destId="{2B4CA219-FCDF-4DC9-838B-347D66A201C4}" srcOrd="0" destOrd="0" presId="urn:microsoft.com/office/officeart/2005/8/layout/bProcess2"/>
    <dgm:cxn modelId="{819467CA-5E56-4964-AD6A-20430DB1AC76}" srcId="{8419F0B7-39AB-4D1A-A9C6-175A7F6EB7A8}" destId="{21776A27-FF4C-4EB3-ABF2-F9212B8D7047}" srcOrd="4" destOrd="0" parTransId="{0C80C4C8-0D75-4616-A283-C8B89EBF6179}" sibTransId="{BD86FEB3-C8A5-4299-8F91-BFD8364EFB68}"/>
    <dgm:cxn modelId="{0945A0CF-357B-45F4-A8DD-C2D3DAF9AB85}" type="presOf" srcId="{2E49C502-DABB-4871-A0DC-03A474132196}" destId="{98DDE382-7861-4AE8-B415-80D9ABE207CA}" srcOrd="0" destOrd="0" presId="urn:microsoft.com/office/officeart/2005/8/layout/bProcess2"/>
    <dgm:cxn modelId="{C22155D2-368B-45DB-AC6D-844E1C3D4F26}" type="presOf" srcId="{8419F0B7-39AB-4D1A-A9C6-175A7F6EB7A8}" destId="{070C239F-E144-462A-BC25-0132A11A1216}" srcOrd="0" destOrd="0" presId="urn:microsoft.com/office/officeart/2005/8/layout/bProcess2"/>
    <dgm:cxn modelId="{E2928AD6-86C5-4D38-9382-B7343BCCD9FD}" type="presOf" srcId="{ABFE69E6-CF24-4F20-98BF-7F16D4C79AD8}" destId="{CBAFAF20-6F7D-4CE5-8D9A-C2A26C20CEF7}" srcOrd="0" destOrd="0" presId="urn:microsoft.com/office/officeart/2005/8/layout/bProcess2"/>
    <dgm:cxn modelId="{E6A6CDEE-6785-48E6-89EF-2A9E80853983}" type="presOf" srcId="{21776A27-FF4C-4EB3-ABF2-F9212B8D7047}" destId="{89AC48A6-895D-45BD-81DF-DA11AC709CF5}" srcOrd="0" destOrd="0" presId="urn:microsoft.com/office/officeart/2005/8/layout/bProcess2"/>
    <dgm:cxn modelId="{5CBF65EF-57CC-4404-B142-323E471481C2}" srcId="{8419F0B7-39AB-4D1A-A9C6-175A7F6EB7A8}" destId="{A6F931FB-671A-4F15-A49E-8992CA36F831}" srcOrd="1" destOrd="0" parTransId="{E34F0C1B-61BE-4986-BDFC-94F62A15EC0B}" sibTransId="{2E49C502-DABB-4871-A0DC-03A474132196}"/>
    <dgm:cxn modelId="{841B31FE-3D2D-4148-858A-44E3DE241F1D}" type="presOf" srcId="{BD86FEB3-C8A5-4299-8F91-BFD8364EFB68}" destId="{BF4E2DAE-16F1-4556-B4CE-770770E3274C}" srcOrd="0" destOrd="0" presId="urn:microsoft.com/office/officeart/2005/8/layout/bProcess2"/>
    <dgm:cxn modelId="{086DC17D-935F-420F-AB4D-42FCD2D0D686}" type="presParOf" srcId="{070C239F-E144-462A-BC25-0132A11A1216}" destId="{F64A6373-9898-4300-B90C-4C7F14AD28C3}" srcOrd="0" destOrd="0" presId="urn:microsoft.com/office/officeart/2005/8/layout/bProcess2"/>
    <dgm:cxn modelId="{DE73E83F-E577-4027-9A96-91896575B415}" type="presParOf" srcId="{070C239F-E144-462A-BC25-0132A11A1216}" destId="{2C1D2070-F6D3-444E-B8AD-7E3AB4E0528E}" srcOrd="1" destOrd="0" presId="urn:microsoft.com/office/officeart/2005/8/layout/bProcess2"/>
    <dgm:cxn modelId="{6CA309E0-769E-4FFA-B0A1-D4BFEE202ABA}" type="presParOf" srcId="{070C239F-E144-462A-BC25-0132A11A1216}" destId="{E1BB9EBE-3431-422A-963B-098293E86686}" srcOrd="2" destOrd="0" presId="urn:microsoft.com/office/officeart/2005/8/layout/bProcess2"/>
    <dgm:cxn modelId="{61D0069E-5F0C-46BA-A931-A5E4B388D240}" type="presParOf" srcId="{E1BB9EBE-3431-422A-963B-098293E86686}" destId="{0CBB719E-253E-404E-AFE7-BFC03D2AD43E}" srcOrd="0" destOrd="0" presId="urn:microsoft.com/office/officeart/2005/8/layout/bProcess2"/>
    <dgm:cxn modelId="{FB656475-CDAB-46F6-851D-41AB38210CDD}" type="presParOf" srcId="{E1BB9EBE-3431-422A-963B-098293E86686}" destId="{D9C43FD4-2193-49A5-BF38-A20A5AF9E9B2}" srcOrd="1" destOrd="0" presId="urn:microsoft.com/office/officeart/2005/8/layout/bProcess2"/>
    <dgm:cxn modelId="{789A2FC2-F7E9-4D9C-BAB2-DB3694271F35}" type="presParOf" srcId="{070C239F-E144-462A-BC25-0132A11A1216}" destId="{98DDE382-7861-4AE8-B415-80D9ABE207CA}" srcOrd="3" destOrd="0" presId="urn:microsoft.com/office/officeart/2005/8/layout/bProcess2"/>
    <dgm:cxn modelId="{09E7CD65-B135-42E4-9D87-B7F3C4C59451}" type="presParOf" srcId="{070C239F-E144-462A-BC25-0132A11A1216}" destId="{64A68031-BE21-43FB-BFF8-DDB037C3B461}" srcOrd="4" destOrd="0" presId="urn:microsoft.com/office/officeart/2005/8/layout/bProcess2"/>
    <dgm:cxn modelId="{9818A28E-668A-4B55-BBB5-7837F3FD02D9}" type="presParOf" srcId="{64A68031-BE21-43FB-BFF8-DDB037C3B461}" destId="{EFD72D94-343C-42AF-B54B-F76B1AF06982}" srcOrd="0" destOrd="0" presId="urn:microsoft.com/office/officeart/2005/8/layout/bProcess2"/>
    <dgm:cxn modelId="{7C5F3FAF-08F1-4C50-B977-1CD698E7B648}" type="presParOf" srcId="{64A68031-BE21-43FB-BFF8-DDB037C3B461}" destId="{76981FA8-7497-4485-BDAB-AC67ED115C49}" srcOrd="1" destOrd="0" presId="urn:microsoft.com/office/officeart/2005/8/layout/bProcess2"/>
    <dgm:cxn modelId="{CF131E92-47FA-4219-96BE-B8D06A1DECDC}" type="presParOf" srcId="{070C239F-E144-462A-BC25-0132A11A1216}" destId="{F469775F-6980-4EE0-86E4-81CF15A0A609}" srcOrd="5" destOrd="0" presId="urn:microsoft.com/office/officeart/2005/8/layout/bProcess2"/>
    <dgm:cxn modelId="{D6967AEE-AACE-4254-A71A-E0FCE58C4DCB}" type="presParOf" srcId="{070C239F-E144-462A-BC25-0132A11A1216}" destId="{4710353D-3A0C-46BB-978C-1958BA25826A}" srcOrd="6" destOrd="0" presId="urn:microsoft.com/office/officeart/2005/8/layout/bProcess2"/>
    <dgm:cxn modelId="{22C52D78-E225-446D-BB7A-B9D9820473A4}" type="presParOf" srcId="{4710353D-3A0C-46BB-978C-1958BA25826A}" destId="{B8EEB913-EBDF-49D9-B880-68A622A459FC}" srcOrd="0" destOrd="0" presId="urn:microsoft.com/office/officeart/2005/8/layout/bProcess2"/>
    <dgm:cxn modelId="{30A7E019-D1BB-48CE-8011-A11C1C31AAE0}" type="presParOf" srcId="{4710353D-3A0C-46BB-978C-1958BA25826A}" destId="{CBAFAF20-6F7D-4CE5-8D9A-C2A26C20CEF7}" srcOrd="1" destOrd="0" presId="urn:microsoft.com/office/officeart/2005/8/layout/bProcess2"/>
    <dgm:cxn modelId="{569FC0B2-6B18-4F67-A435-93B9EB0C32D1}" type="presParOf" srcId="{070C239F-E144-462A-BC25-0132A11A1216}" destId="{11C65E4A-1D98-4EF2-9960-DEFB4EC398F9}" srcOrd="7" destOrd="0" presId="urn:microsoft.com/office/officeart/2005/8/layout/bProcess2"/>
    <dgm:cxn modelId="{944029A9-C1AD-422A-84B8-7C362AD3210C}" type="presParOf" srcId="{070C239F-E144-462A-BC25-0132A11A1216}" destId="{E3DDABD0-6509-4B11-B801-3D50CD084C68}" srcOrd="8" destOrd="0" presId="urn:microsoft.com/office/officeart/2005/8/layout/bProcess2"/>
    <dgm:cxn modelId="{42DC2D23-CC4C-47F9-AA87-C28974C6572A}" type="presParOf" srcId="{E3DDABD0-6509-4B11-B801-3D50CD084C68}" destId="{DEEC5C88-795A-4DC1-9CE0-FFF9B7C08E8D}" srcOrd="0" destOrd="0" presId="urn:microsoft.com/office/officeart/2005/8/layout/bProcess2"/>
    <dgm:cxn modelId="{27DB539F-3C18-46EA-8174-20DC632D9CF9}" type="presParOf" srcId="{E3DDABD0-6509-4B11-B801-3D50CD084C68}" destId="{89AC48A6-895D-45BD-81DF-DA11AC709CF5}" srcOrd="1" destOrd="0" presId="urn:microsoft.com/office/officeart/2005/8/layout/bProcess2"/>
    <dgm:cxn modelId="{19117856-FA04-4E95-BBB9-2457298C645C}" type="presParOf" srcId="{070C239F-E144-462A-BC25-0132A11A1216}" destId="{BF4E2DAE-16F1-4556-B4CE-770770E3274C}" srcOrd="9" destOrd="0" presId="urn:microsoft.com/office/officeart/2005/8/layout/bProcess2"/>
    <dgm:cxn modelId="{AB9470E5-6E8B-41BC-B6BE-520091FAD660}" type="presParOf" srcId="{070C239F-E144-462A-BC25-0132A11A1216}" destId="{91B2F16F-8503-4C8F-AF4F-94B815E14745}" srcOrd="10" destOrd="0" presId="urn:microsoft.com/office/officeart/2005/8/layout/bProcess2"/>
    <dgm:cxn modelId="{B735BD31-243F-4BE8-A520-7469CE8CE9E9}" type="presParOf" srcId="{91B2F16F-8503-4C8F-AF4F-94B815E14745}" destId="{CC9E1534-23AA-4E3E-B970-888B128B8261}" srcOrd="0" destOrd="0" presId="urn:microsoft.com/office/officeart/2005/8/layout/bProcess2"/>
    <dgm:cxn modelId="{CF212073-5963-4FAC-BABB-4FFF867DA32F}" type="presParOf" srcId="{91B2F16F-8503-4C8F-AF4F-94B815E14745}" destId="{B36A72B5-B4C0-41E7-9FC6-EBDAD69F8006}" srcOrd="1" destOrd="0" presId="urn:microsoft.com/office/officeart/2005/8/layout/bProcess2"/>
    <dgm:cxn modelId="{6CADC789-5449-47CE-AF5B-7E1373200A7B}" type="presParOf" srcId="{070C239F-E144-462A-BC25-0132A11A1216}" destId="{2B4CA219-FCDF-4DC9-838B-347D66A201C4}" srcOrd="11" destOrd="0" presId="urn:microsoft.com/office/officeart/2005/8/layout/bProcess2"/>
    <dgm:cxn modelId="{FCA8BF73-911B-412C-9D0B-E571A95777E9}" type="presParOf" srcId="{070C239F-E144-462A-BC25-0132A11A1216}" destId="{7B5734DF-691F-4F33-9E0F-7476F06CB969}" srcOrd="12" destOrd="0" presId="urn:microsoft.com/office/officeart/2005/8/layout/bProcess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64A6373-9898-4300-B90C-4C7F14AD28C3}">
      <dsp:nvSpPr>
        <dsp:cNvPr id="0" name=""/>
        <dsp:cNvSpPr/>
      </dsp:nvSpPr>
      <dsp:spPr>
        <a:xfrm>
          <a:off x="159457" y="391648"/>
          <a:ext cx="846647" cy="576118"/>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Revisión de literatura Gris</a:t>
          </a:r>
        </a:p>
      </dsp:txBody>
      <dsp:txXfrm>
        <a:off x="283446" y="476019"/>
        <a:ext cx="598669" cy="407376"/>
      </dsp:txXfrm>
    </dsp:sp>
    <dsp:sp modelId="{2C1D2070-F6D3-444E-B8AD-7E3AB4E0528E}">
      <dsp:nvSpPr>
        <dsp:cNvPr id="0" name=""/>
        <dsp:cNvSpPr/>
      </dsp:nvSpPr>
      <dsp:spPr>
        <a:xfrm rot="10800000">
          <a:off x="476263" y="1021025"/>
          <a:ext cx="213034" cy="112908"/>
        </a:xfrm>
        <a:prstGeom prst="triangle">
          <a:avLst/>
        </a:prstGeom>
        <a:solidFill>
          <a:schemeClr val="accent6">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9C43FD4-2193-49A5-BF38-A20A5AF9E9B2}">
      <dsp:nvSpPr>
        <dsp:cNvPr id="0" name=""/>
        <dsp:cNvSpPr/>
      </dsp:nvSpPr>
      <dsp:spPr>
        <a:xfrm>
          <a:off x="2146" y="1180801"/>
          <a:ext cx="1161269" cy="690158"/>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Selección de base de datos y fuentes de información </a:t>
          </a:r>
        </a:p>
      </dsp:txBody>
      <dsp:txXfrm>
        <a:off x="172210" y="1281872"/>
        <a:ext cx="821141" cy="488016"/>
      </dsp:txXfrm>
    </dsp:sp>
    <dsp:sp modelId="{98DDE382-7861-4AE8-B415-80D9ABE207CA}">
      <dsp:nvSpPr>
        <dsp:cNvPr id="0" name=""/>
        <dsp:cNvSpPr/>
      </dsp:nvSpPr>
      <dsp:spPr>
        <a:xfrm rot="5359897">
          <a:off x="1386668" y="1458805"/>
          <a:ext cx="213034" cy="112908"/>
        </a:xfrm>
        <a:prstGeom prst="triangle">
          <a:avLst/>
        </a:prstGeom>
        <a:solidFill>
          <a:schemeClr val="accent6">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6981FA8-7497-4485-BDAB-AC67ED115C49}">
      <dsp:nvSpPr>
        <dsp:cNvPr id="0" name=""/>
        <dsp:cNvSpPr/>
      </dsp:nvSpPr>
      <dsp:spPr>
        <a:xfrm>
          <a:off x="1816629" y="1141490"/>
          <a:ext cx="902012" cy="729469"/>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Construcción de la ecuación de búsqueda </a:t>
          </a:r>
        </a:p>
      </dsp:txBody>
      <dsp:txXfrm>
        <a:off x="1948726" y="1248318"/>
        <a:ext cx="637818" cy="515813"/>
      </dsp:txXfrm>
    </dsp:sp>
    <dsp:sp modelId="{F469775F-6980-4EE0-86E4-81CF15A0A609}">
      <dsp:nvSpPr>
        <dsp:cNvPr id="0" name=""/>
        <dsp:cNvSpPr/>
      </dsp:nvSpPr>
      <dsp:spPr>
        <a:xfrm>
          <a:off x="2161118" y="975323"/>
          <a:ext cx="213034" cy="112908"/>
        </a:xfrm>
        <a:prstGeom prst="triangle">
          <a:avLst/>
        </a:prstGeom>
        <a:solidFill>
          <a:schemeClr val="accent6">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BAFAF20-6F7D-4CE5-8D9A-C2A26C20CEF7}">
      <dsp:nvSpPr>
        <dsp:cNvPr id="0" name=""/>
        <dsp:cNvSpPr/>
      </dsp:nvSpPr>
      <dsp:spPr>
        <a:xfrm>
          <a:off x="1467750" y="138815"/>
          <a:ext cx="1599771" cy="789640"/>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Definición de los críterios de inclusión y exclusión Medionte ánalsis bibliométrico </a:t>
          </a:r>
        </a:p>
      </dsp:txBody>
      <dsp:txXfrm>
        <a:off x="1702031" y="254455"/>
        <a:ext cx="1131209" cy="558360"/>
      </dsp:txXfrm>
    </dsp:sp>
    <dsp:sp modelId="{11C65E4A-1D98-4EF2-9960-DEFB4EC398F9}">
      <dsp:nvSpPr>
        <dsp:cNvPr id="0" name=""/>
        <dsp:cNvSpPr/>
      </dsp:nvSpPr>
      <dsp:spPr>
        <a:xfrm rot="5201714">
          <a:off x="3144393" y="420403"/>
          <a:ext cx="213034" cy="112908"/>
        </a:xfrm>
        <a:prstGeom prst="triangle">
          <a:avLst/>
        </a:prstGeom>
        <a:solidFill>
          <a:schemeClr val="accent6">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9AC48A6-895D-45BD-81DF-DA11AC709CF5}">
      <dsp:nvSpPr>
        <dsp:cNvPr id="0" name=""/>
        <dsp:cNvSpPr/>
      </dsp:nvSpPr>
      <dsp:spPr>
        <a:xfrm>
          <a:off x="3432043" y="153850"/>
          <a:ext cx="805246" cy="578598"/>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Aáalisis de títulos y resúmenes </a:t>
          </a:r>
        </a:p>
      </dsp:txBody>
      <dsp:txXfrm>
        <a:off x="3549969" y="238584"/>
        <a:ext cx="569394" cy="409130"/>
      </dsp:txXfrm>
    </dsp:sp>
    <dsp:sp modelId="{BF4E2DAE-16F1-4556-B4CE-770770E3274C}">
      <dsp:nvSpPr>
        <dsp:cNvPr id="0" name=""/>
        <dsp:cNvSpPr/>
      </dsp:nvSpPr>
      <dsp:spPr>
        <a:xfrm rot="10800000">
          <a:off x="3728149" y="793225"/>
          <a:ext cx="213034" cy="112908"/>
        </a:xfrm>
        <a:prstGeom prst="triangle">
          <a:avLst/>
        </a:prstGeom>
        <a:solidFill>
          <a:schemeClr val="accent6">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36A72B5-B4C0-41E7-9FC6-EBDAD69F8006}">
      <dsp:nvSpPr>
        <dsp:cNvPr id="0" name=""/>
        <dsp:cNvSpPr/>
      </dsp:nvSpPr>
      <dsp:spPr>
        <a:xfrm>
          <a:off x="3371856" y="960519"/>
          <a:ext cx="925620" cy="751843"/>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Selección de articulos para lectura </a:t>
          </a:r>
        </a:p>
      </dsp:txBody>
      <dsp:txXfrm>
        <a:off x="3507410" y="1070624"/>
        <a:ext cx="654512" cy="531633"/>
      </dsp:txXfrm>
    </dsp:sp>
    <dsp:sp modelId="{2B4CA219-FCDF-4DC9-838B-347D66A201C4}">
      <dsp:nvSpPr>
        <dsp:cNvPr id="0" name=""/>
        <dsp:cNvSpPr/>
      </dsp:nvSpPr>
      <dsp:spPr>
        <a:xfrm rot="5710370">
          <a:off x="4347154" y="1336025"/>
          <a:ext cx="213034" cy="112908"/>
        </a:xfrm>
        <a:prstGeom prst="triangle">
          <a:avLst/>
        </a:prstGeom>
        <a:solidFill>
          <a:schemeClr val="accent6">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B5734DF-691F-4F33-9E0F-7476F06CB969}">
      <dsp:nvSpPr>
        <dsp:cNvPr id="0" name=""/>
        <dsp:cNvSpPr/>
      </dsp:nvSpPr>
      <dsp:spPr>
        <a:xfrm>
          <a:off x="4601811" y="1177579"/>
          <a:ext cx="863392" cy="534783"/>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Extracción de Información </a:t>
          </a:r>
        </a:p>
      </dsp:txBody>
      <dsp:txXfrm>
        <a:off x="4728252" y="1255896"/>
        <a:ext cx="610510" cy="378149"/>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2">
  <dgm:title val=""/>
  <dgm:desc val=""/>
  <dgm:catLst>
    <dgm:cat type="process" pri="24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dgm:varLst>
    <dgm:choose name="Name0">
      <dgm:if name="Name1" func="var" arg="dir" op="equ" val="norm">
        <dgm:alg type="snake">
          <dgm:param type="grDir" val="tL"/>
          <dgm:param type="flowDir" val="col"/>
          <dgm:param type="contDir" val="revDir"/>
        </dgm:alg>
      </dgm:if>
      <dgm:else name="Name2">
        <dgm:alg type="snake">
          <dgm:param type="grDir" val="tR"/>
          <dgm:param type="flowDir" val="col"/>
          <dgm:param type="contDir" val="revDir"/>
        </dgm:alg>
      </dgm:else>
    </dgm:choose>
    <dgm:shape xmlns:r="http://schemas.openxmlformats.org/officeDocument/2006/relationships" r:blip="">
      <dgm:adjLst/>
    </dgm:shape>
    <dgm:presOf/>
    <dgm:constrLst>
      <dgm:constr type="w" for="ch" forName="firstNode" refType="w"/>
      <dgm:constr type="w" for="ch" forName="lastNode" refType="w" refFor="ch" refForName="firstNode" op="equ"/>
      <dgm:constr type="w" for="ch" forName="middleNode" refType="w" refFor="ch" refForName="firstNode" op="equ"/>
      <dgm:constr type="h" for="ch" ptType="sibTrans" refType="w" refFor="ch" refForName="middleNode" op="equ" fact="0.35"/>
      <dgm:constr type="sp" refType="w" refFor="ch" refForName="middleNode" fact="0.5"/>
      <dgm:constr type="connDist" for="des" ptType="sibTrans" op="equ"/>
      <dgm:constr type="primFontSz" for="ch" forName="firstNode" val="65"/>
      <dgm:constr type="primFontSz" for="ch" forName="lastNode" refType="primFontSz" refFor="ch" refForName="firstNode" op="equ"/>
      <dgm:constr type="primFontSz" for="des" forName="shape" val="65"/>
      <dgm:constr type="primFontSz" for="des" forName="shape" refType="primFontSz" refFor="ch" refForName="firstNode" op="lte"/>
      <dgm:constr type="primFontSz" for="des" forName="shape" refType="primFontSz" refFor="ch" refForName="lastNode" op="lte"/>
    </dgm:constrLst>
    <dgm:ruleLst/>
    <dgm:forEach name="Name3" axis="ch" ptType="node">
      <dgm:choose name="Name4">
        <dgm:if name="Name5" axis="self" ptType="node" func="pos" op="equ" val="1">
          <dgm:layoutNode name="first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if name="Name6" axis="self" ptType="node" func="revPos" op="equ" val="1">
          <dgm:layoutNode name="last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7">
          <dgm:layoutNode name="middleNode">
            <dgm:alg type="composite"/>
            <dgm:shape xmlns:r="http://schemas.openxmlformats.org/officeDocument/2006/relationships" r:blip="">
              <dgm:adjLst/>
            </dgm:shape>
            <dgm:presOf/>
            <dgm:constrLst>
              <dgm:constr type="h" refType="w"/>
              <dgm:constr type="w" for="ch" forName="padding" refType="w"/>
              <dgm:constr type="h" for="ch" forName="padding" refType="h"/>
              <dgm:constr type="w" for="ch" forName="shape" refType="w" fact="0.667"/>
              <dgm:constr type="h" for="ch" forName="shape" refType="h" fact="0.667"/>
              <dgm:constr type="ctrX" for="ch" forName="shape" refType="w" fact="0.5"/>
              <dgm:constr type="ctrY" for="ch" forName="shape" refType="h" fact="0.5"/>
            </dgm:constrLst>
            <dgm:ruleLst/>
            <dgm:layoutNode name="padding">
              <dgm:alg type="sp"/>
              <dgm:shape xmlns:r="http://schemas.openxmlformats.org/officeDocument/2006/relationships" type="ellipse" r:blip="" hideGeom="1">
                <dgm:adjLst/>
              </dgm:shape>
              <dgm:presOf/>
              <dgm:constrLst/>
              <dgm:ruleLst/>
            </dgm:layoutNode>
            <dgm:layoutNode name="shap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else>
      </dgm:choose>
      <dgm:forEach name="Name8" axis="followSib" ptType="sibTrans" cnt="1">
        <dgm:layoutNode name="sibTrans">
          <dgm:choose name="Name9">
            <dgm:if name="Name10" func="var" arg="dir" op="equ" val="norm">
              <dgm:choose name="Name11">
                <dgm:if name="Name12" axis="self" ptType="sibTrans" func="pos" op="equ" val="1">
                  <dgm:alg type="conn">
                    <dgm:param type="begPts" val="auto"/>
                    <dgm:param type="endPts" val="auto"/>
                    <dgm:param type="srcNode" val="firstNode"/>
                    <dgm:param type="dstNode" val="shape"/>
                  </dgm:alg>
                </dgm:if>
                <dgm:if name="Name13" axis="self" ptType="sibTrans" func="revPos" op="equ" val="1">
                  <dgm:alg type="conn">
                    <dgm:param type="begPts" val="auto"/>
                    <dgm:param type="endPts" val="auto"/>
                    <dgm:param type="srcNode" val="shape"/>
                    <dgm:param type="dstNode" val="lastNode"/>
                  </dgm:alg>
                </dgm:if>
                <dgm:else name="Name14">
                  <dgm:alg type="conn">
                    <dgm:param type="begPts" val="auto"/>
                    <dgm:param type="endPts" val="auto"/>
                    <dgm:param type="srcNode" val="shape"/>
                    <dgm:param type="dstNode" val="shape"/>
                  </dgm:alg>
                </dgm:else>
              </dgm:choose>
            </dgm:if>
            <dgm:else name="Name15">
              <dgm:choose name="Name16">
                <dgm:if name="Name17" axis="self" ptType="sibTrans" func="pos" op="equ" val="1">
                  <dgm:alg type="conn">
                    <dgm:param type="begPts" val="auto"/>
                    <dgm:param type="endPts" val="auto"/>
                    <dgm:param type="srcNode" val="firstNode"/>
                    <dgm:param type="dstNode" val="shape"/>
                  </dgm:alg>
                </dgm:if>
                <dgm:if name="Name18" axis="self" ptType="sibTrans" func="revPos" op="equ" val="1">
                  <dgm:alg type="conn">
                    <dgm:param type="begPts" val="auto"/>
                    <dgm:param type="endPts" val="auto"/>
                    <dgm:param type="srcNode" val="shape"/>
                    <dgm:param type="dstNode" val="lastNode"/>
                  </dgm:alg>
                </dgm:if>
                <dgm:else name="Name19">
                  <dgm:alg type="conn">
                    <dgm:param type="begPts" val="auto"/>
                    <dgm:param type="endPts" val="auto"/>
                    <dgm:param type="srcNode" val="shape"/>
                    <dgm:param type="dstNode" val="shape"/>
                  </dgm:alg>
                </dgm:else>
              </dgm:choose>
            </dgm:else>
          </dgm:choose>
          <dgm:shape xmlns:r="http://schemas.openxmlformats.org/officeDocument/2006/relationships" rot="90" type="triangle" r:blip="">
            <dgm:adjLst/>
          </dgm:shape>
          <dgm:presOf axis="self"/>
          <dgm:constrLst>
            <dgm:constr type="w" refType="h"/>
            <dgm:constr type="connDist"/>
            <dgm:constr type="begPad" refType="connDist" fact="0.25"/>
            <dgm:constr type="endPad" refType="connDist" fact="0.22"/>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Gue20</b:Tag>
    <b:SourceType>JournalArticle</b:SourceType>
    <b:Guid>{FC2E2DE9-F294-428E-94BF-CA73D9184E6B}</b:Guid>
    <b:Author>
      <b:Author>
        <b:NameList>
          <b:Person>
            <b:Last>Guevara Alban</b:Last>
            <b:First>Gladys</b:First>
          </b:Person>
          <b:Person>
            <b:Last> Verdesoto Arguello</b:Last>
            <b:First>Alexis</b:First>
          </b:Person>
          <b:Person>
            <b:Last>Castro Molina</b:Last>
            <b:First>Nelly</b:First>
          </b:Person>
        </b:NameList>
      </b:Author>
    </b:Author>
    <b:Title>Metodologías de investigación educativa (descriptivas, experimentales, participativas, y de investigación-acción)</b:Title>
    <b:JournalName>revista cientifica mundo de la investigacion y conocimiento</b:JournalName>
    <b:Year>2020</b:Year>
    <b:Pages>163-173</b:Pages>
    <b:RefOrder>15</b:RefOrder>
  </b:Source>
  <b:Source>
    <b:Tag>Goi22</b:Tag>
    <b:SourceType>JournalArticle</b:SourceType>
    <b:Guid>{02AF59FB-AC0D-4167-BC3C-E3C293146752}</b:Guid>
    <b:Author>
      <b:Author>
        <b:NameList>
          <b:Person>
            <b:Last>Goinheix</b:Last>
            <b:First>Sebastián</b:First>
          </b:Person>
        </b:NameList>
      </b:Author>
    </b:Author>
    <b:Title>El análisis de redes sociales aplicado a los estudios socio territoriales</b:Title>
    <b:Year>2022</b:Year>
    <b:JournalName>Revista del Área de Estudios Urbanos, núm. 19, 2023</b:JournalName>
    <b:RefOrder>16</b:RefOrder>
  </b:Source>
  <b:Source>
    <b:Tag>Coq14</b:Tag>
    <b:SourceType>JournalArticle</b:SourceType>
    <b:Guid>{31471AA0-DA86-4765-807D-BFFBBCFAB795}</b:Guid>
    <b:Title>Análisis de un sistema local de innovación: Agentes y red de relaciones </b:Title>
    <b:JournalName>dyna </b:JournalName>
    <b:Year>2014</b:Year>
    <b:Pages>209-216</b:Pages>
    <b:Author>
      <b:Author>
        <b:NameList>
          <b:Person>
            <b:Last>Coque</b:Last>
            <b:First>Jorge </b:First>
          </b:Person>
          <b:Person>
            <b:Last>González-Torres</b:Last>
            <b:First>Pilar </b:First>
          </b:Person>
          <b:Person>
            <b:Last> López-Mielgo</b:Last>
            <b:First>Nuria</b:First>
          </b:Person>
          <b:Person>
            <b:Last>Vázquez</b:Last>
            <b:First>Daniel </b:First>
          </b:Person>
        </b:NameList>
      </b:Author>
    </b:Author>
    <b:RefOrder>17</b:RefOrder>
  </b:Source>
  <b:Source>
    <b:Tag>Min24</b:Tag>
    <b:SourceType>InternetSite</b:SourceType>
    <b:Guid>{82D50E06-B2C1-49A9-866C-CB1805FC9C3A}</b:Guid>
    <b:Title>Negocios con enfoque ambiental</b:Title>
    <b:Year>2024</b:Year>
    <b:Month>03</b:Month>
    <b:Day>08</b:Day>
    <b:Author>
      <b:Author>
        <b:Corporate>Ministerio de Comercio, Industria y Turismo </b:Corporate>
      </b:Author>
    </b:Author>
    <b:URL>https://www.mincit.gov.co/prensa/noticias/industria/colombia-cerro-2023-con-historico-empresas-activas</b:URL>
    <b:RefOrder>36</b:RefOrder>
  </b:Source>
  <b:Source>
    <b:Tag>Gla20</b:Tag>
    <b:SourceType>JournalArticle</b:SourceType>
    <b:Guid>{2015B20E-B2D4-465F-A00D-D8D008595300}</b:Guid>
    <b:Title>Metodologías de investigación educativa (descriptivas, experimentales, participativas, y de investigación-acción)</b:Title>
    <b:Year>2020</b:Year>
    <b:Author>
      <b:Author>
        <b:NameList>
          <b:Person>
            <b:Last>Gladys Patricia Guevara Alban</b:Last>
            <b:First>Alexis</b:First>
            <b:Middle>Eduardo Verdesoto Arguello,Nelly Esther Castro Molina</b:Middle>
          </b:Person>
        </b:NameList>
      </b:Author>
    </b:Author>
    <b:JournalName>recimundo</b:JournalName>
    <b:Pages>163-173</b:Pages>
    <b:RefOrder>53</b:RefOrder>
  </b:Source>
  <b:Source>
    <b:Tag>Her14</b:Tag>
    <b:SourceType>Book</b:SourceType>
    <b:Guid>{32CDACAB-BFA6-40BC-B4ED-16DC348344C5}</b:Guid>
    <b:Title>Metodologia de la investigacion </b:Title>
    <b:Year>2014</b:Year>
    <b:City>Ciudad de Mexico</b:City>
    <b:Publisher>MGH</b:Publisher>
    <b:Author>
      <b:Author>
        <b:NameList>
          <b:Person>
            <b:Last> Hernández Sampieri</b:Last>
            <b:First>Roberto</b:First>
          </b:Person>
        </b:NameList>
      </b:Author>
    </b:Author>
    <b:RefOrder>54</b:RefOrder>
  </b:Source>
  <b:Source>
    <b:Tag>BUS16</b:Tag>
    <b:SourceType>JournalArticle</b:SourceType>
    <b:Guid>{67D8247C-57B5-47CD-A063-16CBF0662D3E}</b:Guid>
    <b:Title>DEBATES Y CONTROVERSIAS EN TORNO A LAS POLÍTICAS DE CIENCIA, TECNOLOGÍA E INNOVACIÓN en el sistema de innovacion en Chile</b:Title>
    <b:Year>2016</b:Year>
    <b:Author>
      <b:Author>
        <b:NameList>
          <b:Person>
            <b:Last>BUSTOS VELASQUEZ</b:Last>
            <b:First>FELIPE</b:First>
            <b:Middle>ANDRES</b:Middle>
          </b:Person>
        </b:NameList>
      </b:Author>
    </b:Author>
    <b:JournalName>FRONTERAS – Revista de Ciencias Sociales y Humanidades</b:JournalName>
    <b:Pages>85-107</b:Pages>
    <b:RefOrder>7</b:RefOrder>
  </b:Source>
  <b:Source>
    <b:Tag>San21</b:Tag>
    <b:SourceType>Report</b:SourceType>
    <b:Guid>{BC3F9A9C-3620-449F-9FC8-DA265FC33382}</b:Guid>
    <b:Title>Estructura y dinámica de los Sistemas Locales de Innovación Social en Colombia. Evidencia territorial</b:Title>
    <b:Year>2021</b:Year>
    <b:Author>
      <b:Author>
        <b:NameList>
          <b:Person>
            <b:Last>Santamaría Ramos</b:Last>
            <b:First>Johnker</b:First>
            <b:Middle>Augusto</b:Middle>
          </b:Person>
        </b:NameList>
      </b:Author>
    </b:Author>
    <b:Publisher>Universidad del Norte</b:Publisher>
    <b:City>Barranquilla </b:City>
    <b:RefOrder>8</b:RefOrder>
  </b:Source>
  <b:Source>
    <b:Tag>Bea09</b:Tag>
    <b:SourceType>JournalArticle</b:SourceType>
    <b:Guid>{F24BE776-7573-41A9-B7DC-7FCBFC9C3744}</b:Guid>
    <b:Title>LA PERSPECTIVA DEL SISTEMA NACIONAL/REGIONAL DE INNOVACIÓN: BALANCE Y RECEPCIÓN EN ESPAÑA</b:Title>
    <b:Year>2009</b:Year>
    <b:Author>
      <b:Author>
        <b:NameList>
          <b:Person>
            <b:Last>Beatriz Otero</b:Last>
            <b:First>Mikel</b:First>
            <b:Middle>Olazaran</b:Middle>
          </b:Person>
        </b:NameList>
      </b:Author>
    </b:Author>
    <b:JournalName>ARBOR Ciencia, Pensamiento y Cultura</b:JournalName>
    <b:Pages>767-779</b:Pages>
    <b:RefOrder>55</b:RefOrder>
  </b:Source>
  <b:Source>
    <b:Tag>Uni14</b:Tag>
    <b:SourceType>InternetSite</b:SourceType>
    <b:Guid>{CEB4A00B-8355-46D6-9AF3-67C52A0E8BDE}</b:Guid>
    <b:Title>biblioteca virtual </b:Title>
    <b:Year>2014</b:Year>
    <b:URL>https://login.bibliotecavirtual.uis.edu.co/menu</b:URL>
    <b:Author>
      <b:Author>
        <b:Corporate>Universidad Industrial de Santander </b:Corporate>
      </b:Author>
    </b:Author>
    <b:RefOrder>2</b:RefOrder>
  </b:Source>
  <b:Source>
    <b:Tag>Cot16</b:Tag>
    <b:SourceType>JournalArticle</b:SourceType>
    <b:Guid>{CB3DB83B-09F2-4B13-8A3A-F1A5471000A7}</b:Guid>
    <b:Author>
      <b:Author>
        <b:NameList>
          <b:Person>
            <b:Last>Cote-Peña</b:Last>
            <b:First>C.P.,</b:First>
            <b:Middle>Meneses-Amaya, C.P., Arenas-Morantes, C.J., &amp; Caballero-Pére</b:Middle>
          </b:Person>
        </b:NameList>
      </b:Author>
    </b:Author>
    <b:Title>Benchmarking between regional innovation systems: the case of Santander and Antioquia, Colombia</b:Title>
    <b:JournalName>Revista de investigacion, Desarrollo e Innovacion </b:JournalName>
    <b:Year>2016</b:Year>
    <b:Pages>11-24</b:Pages>
    <b:RefOrder>56</b:RefOrder>
  </b:Source>
  <b:Source>
    <b:Tag>Rin20</b:Tag>
    <b:SourceType>JournalArticle</b:SourceType>
    <b:Guid>{36988E3C-46AF-4633-9220-56762EBFA767}</b:Guid>
    <b:Title>El sistema nacional de innovación: Un análisis teórico-conceptual</b:Title>
    <b:Year>2020</b:Year>
    <b:Author>
      <b:Author>
        <b:NameList>
          <b:Person>
            <b:Last>Rincón Castillo</b:Last>
            <b:First>Elita</b:First>
            <b:Middle>Luisa</b:Middle>
          </b:Person>
        </b:NameList>
      </b:Author>
    </b:Author>
    <b:JournalName>redalyc</b:JournalName>
    <b:Pages>94-117</b:Pages>
    <b:RefOrder>14</b:RefOrder>
  </b:Source>
  <b:Source>
    <b:Tag>Ard12</b:Tag>
    <b:SourceType>JournalArticle</b:SourceType>
    <b:Guid>{5AC44BB0-6CD0-43F4-8940-493E8C5DF822}</b:Guid>
    <b:Title>Breve introducción a la bibliometría</b:Title>
    <b:JournalName> La base de datos scopus y otros e-recursos del CBUES como instrumento de gestión de la actividad investigadora</b:JournalName>
    <b:Year>2012</b:Year>
    <b:Pages>1</b:Pages>
    <b:Author>
      <b:Author>
        <b:NameList>
          <b:Person>
            <b:Last>Ardanuy</b:Last>
            <b:First>Jordi</b:First>
          </b:Person>
        </b:NameList>
      </b:Author>
    </b:Author>
    <b:URL>https://diposit.ub.edu/dspace/bitstream/2445/30962/1/breve%20introduccion%20bibliometria.pdf</b:URL>
    <b:RefOrder>1</b:RefOrder>
  </b:Source>
  <b:Source>
    <b:Tag>Els23</b:Tag>
    <b:SourceType>InternetSite</b:SourceType>
    <b:Guid>{1B92739C-042C-4932-8784-EEEC5282C7E3}</b:Guid>
    <b:Title>elservier</b:Title>
    <b:Year>2023</b:Year>
    <b:Author>
      <b:Author>
        <b:Corporate>El servier</b:Corporate>
      </b:Author>
    </b:Author>
    <b:URL>https://www.elsevier.com/es-es/products/scopus/content</b:URL>
    <b:RefOrder>3</b:RefOrder>
  </b:Source>
  <b:Source>
    <b:Tag>Obs12</b:Tag>
    <b:SourceType>Report</b:SourceType>
    <b:Guid>{3E7E7C47-6580-44F6-8898-EC1396E9F6B2}</b:Guid>
    <b:Title>Corea y su potente Ministerio de Ciencia y Tecnología</b:Title>
    <b:Year>2012</b:Year>
    <b:Author>
      <b:Author>
        <b:Corporate>Observatorio Parlamentario</b:Corporate>
      </b:Author>
    </b:Author>
    <b:Publisher>Biblioteca del congreso nacional de Chile/BCN</b:Publisher>
    <b:City>Santiago</b:City>
    <b:RefOrder>4</b:RefOrder>
  </b:Source>
  <b:Source>
    <b:Tag>Ara21</b:Tag>
    <b:SourceType>JournalArticle</b:SourceType>
    <b:Guid>{F38F6FDC-FC1A-44FE-940F-80C762E8296F}</b:Guid>
    <b:Title>La Quinta Hélice Sistémica [QHS] para la innovación y el desarrollo [I+D] en América Latina.</b:Title>
    <b:Year>2021</b:Year>
    <b:JournalName>Revista Centroamericana de Administración Pública</b:JournalName>
    <b:Pages>81</b:Pages>
    <b:Author>
      <b:Author>
        <b:NameList>
          <b:Person>
            <b:Last>Araya Umaña</b:Last>
            <b:First>Gonzalo</b:First>
          </b:Person>
          <b:Person>
            <b:Last>Li-Bonilla</b:Last>
            <b:First>Federico</b:First>
          </b:Person>
          <b:Person>
            <b:Last>Torres-Vindas</b:Last>
            <b:First>Javier</b:First>
          </b:Person>
        </b:NameList>
      </b:Author>
    </b:Author>
    <b:RefOrder>5</b:RefOrder>
  </b:Source>
  <b:Source>
    <b:Tag>Tre18</b:Tag>
    <b:SourceType>JournalArticle</b:SourceType>
    <b:Guid>{32ECA940-4E9F-4DF0-B551-AE2F1F12F83E}</b:Guid>
    <b:Author>
      <b:Author>
        <b:NameList>
          <b:Person>
            <b:Last>Trejo Berumen</b:Last>
            <b:First>Karla</b:First>
            <b:Middle>S., Gámez, Alba E., Conesa Cegarra, Fernando, Ángeles Villa, Manuel, Boncheva, Antonina Ivanova, &amp; Beltrán Morales, Luis Felipe</b:Middle>
          </b:Person>
        </b:NameList>
      </b:Author>
    </b:Author>
    <b:Title>El sistema nacional de innovación de México. Una comparación con España y Estados Unidos de América. </b:Title>
    <b:JournalName>Acta universitaria 28(1)</b:JournalName>
    <b:Year>2018</b:Year>
    <b:Pages>87-98</b:Pages>
    <b:RefOrder>6</b:RefOrder>
  </b:Source>
  <b:Source>
    <b:Tag>Uri16</b:Tag>
    <b:SourceType>JournalArticle</b:SourceType>
    <b:Guid>{6C2C3795-BA63-48F4-838E-7AB5B994D1BD}</b:Guid>
    <b:Title>Conceptos, actores y atributos de los sistemas regionales de Innovación:Una revisión desde la literatura</b:Title>
    <b:JournalName>Una revisión desde la literatura</b:JournalName>
    <b:Year>2016</b:Year>
    <b:Pages>171-179</b:Pages>
    <b:Author>
      <b:Author>
        <b:NameList>
          <b:Person>
            <b:Last>Uribe Gómez</b:Last>
            <b:First>Julián</b:First>
            <b:Middle>Alberto</b:Middle>
          </b:Person>
          <b:Person>
            <b:Last>Giraldo Ramírez</b:Last>
            <b:First>Diana</b:First>
            <b:Middle>Patricia</b:Middle>
          </b:Person>
          <b:Person>
            <b:Last>Quintero Ramírez</b:Last>
            <b:First>Santiago</b:First>
          </b:Person>
        </b:NameList>
      </b:Author>
    </b:Author>
    <b:RefOrder>9</b:RefOrder>
  </b:Source>
  <b:Source>
    <b:Tag>Pac</b:Tag>
    <b:SourceType>JournalArticle</b:SourceType>
    <b:Guid>{A4A86D93-B4B3-406B-BB90-9218CE509B97}</b:Guid>
    <b:Author>
      <b:Author>
        <b:NameList>
          <b:Person>
            <b:Last>Pacheco</b:Last>
            <b:First>J.</b:First>
            <b:Middle>N</b:Middle>
          </b:Person>
        </b:NameList>
      </b:Author>
    </b:Author>
    <b:Title>Diagnóstico de la estructura del sistema regional de innovacion en Bogotá</b:Title>
    <b:Publisher>Universidad de los Andes</b:Publisher>
    <b:City>Bogotá</b:City>
    <b:Year>2017</b:Year>
    <b:JournalName>Doctoral dissertation, Uniandes</b:JournalName>
    <b:RefOrder>10</b:RefOrder>
  </b:Source>
  <b:Source>
    <b:Tag>Sch34</b:Tag>
    <b:SourceType>Book</b:SourceType>
    <b:Guid>{6CDAF4F2-8993-4D2A-94DF-5068C03F3C38}</b:Guid>
    <b:Title>The Theory of Economic Development: An Inquiry into Profits, Capital, Credit, Interest, and the Business Cycle. </b:Title>
    <b:Year>1934</b:Year>
    <b:Author>
      <b:Author>
        <b:NameList>
          <b:Person>
            <b:Last>Schumpeter</b:Last>
            <b:First>J.</b:First>
            <b:Middle>A.</b:Middle>
          </b:Person>
        </b:NameList>
      </b:Author>
    </b:Author>
    <b:City>New Jersey </b:City>
    <b:Publisher>Harvard University Press. </b:Publisher>
    <b:RefOrder>11</b:RefOrder>
  </b:Source>
  <b:Source>
    <b:Tag>Min</b:Tag>
    <b:SourceType>InternetSite</b:SourceType>
    <b:Guid>{CC042E1A-8DCB-4B1E-94AE-9B73C2CBF6FF}</b:Guid>
    <b:Author>
      <b:Author>
        <b:Corporate>Ministerio de ciencia, tecnologia e innovación</b:Corporate>
      </b:Author>
    </b:Author>
    <b:Title>Minciencias</b:Title>
    <b:URL>https://legadoweb.minciencias.gov.co/faq/qu-es-el-sistema-nacional-de-innovacion</b:URL>
    <b:RefOrder>13</b:RefOrder>
  </b:Source>
  <b:Source>
    <b:Tag>Mar17</b:Tag>
    <b:SourceType>JournalArticle</b:SourceType>
    <b:Guid>{6F7CA4F8-363D-44F8-998A-85BAAFBF01AD}</b:Guid>
    <b:Author>
      <b:Author>
        <b:NameList>
          <b:Person>
            <b:Last>Martínez Celorrio</b:Last>
            <b:First>Xavier</b:First>
          </b:Person>
        </b:NameList>
      </b:Author>
    </b:Author>
    <b:Title>La innovacion social:orígenes, tendencias y ambivalencias </b:Title>
    <b:Year>2017</b:Year>
    <b:JournalName>repositorio Universidad de Barcelona </b:JournalName>
    <b:Pages>61-88</b:Pages>
    <b:RefOrder>18</b:RefOrder>
  </b:Source>
  <b:Source>
    <b:Tag>Far23</b:Tag>
    <b:SourceType>JournalArticle</b:SourceType>
    <b:Guid>{53358954-315D-4E33-9EB3-FE187D209A6D}</b:Guid>
    <b:Author>
      <b:Author>
        <b:NameList>
          <b:Person>
            <b:Last>Farinha</b:Last>
            <b:First>Luís</b:First>
          </b:Person>
          <b:Person>
            <b:Last>Ferreira</b:Last>
            <b:First>João</b:First>
            <b:Middle>J</b:Middle>
          </b:Person>
          <b:Person>
            <b:Last>Ranga</b:Last>
            <b:First>Marina</b:First>
          </b:Person>
          <b:Person>
            <b:Last>Santo</b:Last>
            <b:First>,Domingos</b:First>
          </b:Person>
        </b:NameList>
      </b:Author>
    </b:Author>
    <b:Title>Regional Helix Ecosystems and Economic Growt</b:Title>
    <b:JournalName>University Of Beira Interior</b:JournalName>
    <b:Year>2023</b:Year>
    <b:Pages>1-35</b:Pages>
    <b:RefOrder>19</b:RefOrder>
  </b:Source>
  <b:Source>
    <b:Tag>Gar16</b:Tag>
    <b:SourceType>JournalArticle</b:SourceType>
    <b:Guid>{FF26132C-0905-440B-B76E-55AB95000196}</b:Guid>
    <b:Author>
      <b:Author>
        <b:NameList>
          <b:Person>
            <b:Last>Garrido Rubiano</b:Last>
            <b:First>María</b:First>
            <b:Middle>Fernanda</b:Middle>
          </b:Person>
          <b:Person>
            <b:Last>Martínez Medrano</b:Last>
            <b:First>Juan</b:First>
            <b:Middle>Carlos</b:Middle>
          </b:Person>
          <b:Person>
            <b:Last>Rendón Medel</b:Last>
            <b:First>Roberto</b:First>
          </b:Person>
          <b:Person>
            <b:Last>Granados Carvajal</b:Last>
            <b:First>Rafael</b:First>
            <b:Middle>Evelio</b:Middle>
          </b:Person>
        </b:NameList>
      </b:Author>
    </b:Author>
    <b:Title>Los sistemas de innovacin y su impacto en el desarrollo territorial </b:Title>
    <b:JournalName>reviste mexicana de ciencias agricolas </b:JournalName>
    <b:Year>2016</b:Year>
    <b:Pages>7-15</b:Pages>
    <b:RefOrder>20</b:RefOrder>
  </b:Source>
  <b:Source>
    <b:Tag>Wor24</b:Tag>
    <b:SourceType>Report</b:SourceType>
    <b:Guid>{5176B9FA-C261-448B-8028-567E2E53D296}</b:Guid>
    <b:Author>
      <b:Author>
        <b:Corporate>World Intellectual Property Organization</b:Corporate>
      </b:Author>
    </b:Author>
    <b:Title>Global Innovation Index 2024: Unlocking the Promise of Social</b:Title>
    <b:Year>2024</b:Year>
    <b:Publisher>WIPO</b:Publisher>
    <b:City>Ginebra </b:City>
    <b:RefOrder>27</b:RefOrder>
  </b:Source>
  <b:Source>
    <b:Tag>Ban11</b:Tag>
    <b:SourceType>Book</b:SourceType>
    <b:Guid>{0F3D08AC-413B-4884-A017-C6FDC61B9282}</b:Guid>
    <b:Title>Los sistemas regionales de innovación en América Latina </b:Title>
    <b:Year>2011</b:Year>
    <b:Publisher>Banco interamericano de Desarrollo </b:Publisher>
    <b:City>Washintgon </b:City>
    <b:Author>
      <b:Author>
        <b:Corporate>Banco interamericano de Desarrollo </b:Corporate>
      </b:Author>
    </b:Author>
    <b:RefOrder>23</b:RefOrder>
  </b:Source>
  <b:Source>
    <b:Tag>Nac17</b:Tag>
    <b:SourceType>Book</b:SourceType>
    <b:Guid>{51E4AC45-FAC3-4A6B-A347-68A929712B57}</b:Guid>
    <b:Author>
      <b:Author>
        <b:Corporate>Naciones Unidas </b:Corporate>
      </b:Author>
    </b:Author>
    <b:Title>Instituciones, políticas e  instrumentos para impulsar la ciencia,  tecnología e innovación en la Argentina Reflexiones a partir de la experiencia brasileña </b:Title>
    <b:Year>2017</b:Year>
    <b:City>Santiago </b:City>
    <b:Publisher>Naciones Unidas </b:Publisher>
    <b:RefOrder>28</b:RefOrder>
  </b:Source>
  <b:Source>
    <b:Tag>Fab20</b:Tag>
    <b:SourceType>JournalArticle</b:SourceType>
    <b:Guid>{1300B859-DEFB-4E5E-ADE2-8B4E86ACF04A}</b:Guid>
    <b:Title>La geografía de la innovación</b:Title>
    <b:Year>2020</b:Year>
    <b:Author>
      <b:Author>
        <b:NameList>
          <b:Person>
            <b:Last>Marques</b:Last>
            <b:First>Fabrício</b:First>
          </b:Person>
        </b:NameList>
      </b:Author>
    </b:Author>
    <b:JournalName>Revista Pesquisa Fapesp</b:JournalName>
    <b:RefOrder>29</b:RefOrder>
  </b:Source>
  <b:Source>
    <b:Tag>obs21</b:Tag>
    <b:SourceType>DocumentFromInternetSite</b:SourceType>
    <b:Guid>{D4D46569-F4E0-479D-8924-DAF28C55A6AA}</b:Guid>
    <b:Title>conciencia de datos </b:Title>
    <b:Year>2021</b:Year>
    <b:Author>
      <b:Author>
        <b:Corporate>observatorio colombiano de ciencia y tecnologia </b:Corporate>
      </b:Author>
    </b:Author>
    <b:Month>junio</b:Month>
    <b:Day>30</b:Day>
    <b:URL>https://ocyt.org.co/indice-departamental-de-innovacion-para-colombia-idic-adaptacion-a-partir-de-una-metrica-internacional/</b:URL>
    <b:RefOrder>22</b:RefOrder>
  </b:Source>
  <b:Source>
    <b:Tag>Qui21</b:Tag>
    <b:SourceType>Report</b:SourceType>
    <b:Guid>{CB9BF6C2-5A96-4D73-BF73-F4A83E7877B9}</b:Guid>
    <b:Title>Medición de las capacidades tecnológicas para la innovación en los sistemas de conocimiento e innovación agrícola</b:Title>
    <b:Year>2021</b:Year>
    <b:JournalName>Ciencia y Tecnología Agropecuaria</b:JournalName>
    <b:Author>
      <b:Author>
        <b:NameList>
          <b:Person>
            <b:Last>Quintero</b:Last>
            <b:First>Santiago </b:First>
          </b:Person>
          <b:Person>
            <b:Last>Ruiz-Castañeda</b:Last>
            <b:First>Walter </b:First>
          </b:Person>
          <b:Person>
            <b:Last>Cubillos Jiménez</b:Last>
            <b:First>Santiago</b:First>
          </b:Person>
          <b:Person>
            <b:Last>Marín Sánchez</b:Last>
            <b:Middle>Marcela</b:Middle>
            <b:First>Bibiana</b:First>
          </b:Person>
          <b:Person>
            <b:Last>Giraldo</b:Last>
            <b:First>Diana </b:First>
          </b:Person>
          <b:Person>
            <b:Last> Vélez Acosta</b:Last>
            <b:First>Lina </b:First>
          </b:Person>
        </b:NameList>
      </b:Author>
    </b:Author>
    <b:Publisher>Corporación Colombiana de Investigación Agropecuaria </b:Publisher>
    <b:City>Medellin </b:City>
    <b:RefOrder>24</b:RefOrder>
  </b:Source>
  <b:Source>
    <b:Tag>Jul19</b:Tag>
    <b:SourceType>Book</b:SourceType>
    <b:Guid>{ED5A0559-5029-4F53-B0A8-76BB71DD5835}</b:Guid>
    <b:Title>UNA MIRADA AL SISTEMA DE INNOVACIÓN PANELERO</b:Title>
    <b:Year>2019</b:Year>
    <b:Publisher>Universidad Externado de Colombia</b:Publisher>
    <b:City>Bogota </b:City>
    <b:Author>
      <b:Author>
        <b:NameList>
          <b:Person>
            <b:Last>Zapata</b:Last>
            <b:First>Juliana</b:First>
            <b:Middle>Velandia &amp; Sandra</b:Middle>
          </b:Person>
        </b:NameList>
      </b:Author>
    </b:Author>
    <b:RefOrder>25</b:RefOrder>
  </b:Source>
  <b:Source>
    <b:Tag>Oqu12</b:Tag>
    <b:SourceType>JournalArticle</b:SourceType>
    <b:Guid>{94A403CB-7B75-4B21-868E-4AEF9F4C18FE}</b:Guid>
    <b:Title>SISTEMA DE INNOVACIÓN COLOMBIANO: FUNDAMENTOS, DINÁMICAS Y AVATARES</b:Title>
    <b:Year>2012</b:Year>
    <b:Author>
      <b:Author>
        <b:NameList>
          <b:Person>
            <b:Last> Oquendo Gómez</b:Last>
            <b:Middle>Felipe</b:Middle>
            <b:First>Andrés </b:First>
          </b:Person>
          <b:Person>
            <b:Last> Acevedo Álvarez</b:Last>
            <b:Middle> Alberto</b:Middle>
            <b:First>Carlos</b:First>
          </b:Person>
        </b:NameList>
      </b:Author>
    </b:Author>
    <b:JournalName>Revista Trilogía No 6 </b:JournalName>
    <b:Pages>105-120</b:Pages>
    <b:RefOrder>21</b:RefOrder>
  </b:Source>
  <b:Source>
    <b:Tag>Ari20</b:Tag>
    <b:SourceType>Report</b:SourceType>
    <b:Guid>{05532A21-460A-440E-8B5B-6051A2D0D2F5}</b:Guid>
    <b:Title>Analisis de la artiulacion de los actores que conformasn los ecosistemas regionales de innovacion en Santander</b:Title>
    <b:JournalName>Repositorio Universidad potificia Bolivariana </b:JournalName>
    <b:Year>2020</b:Year>
    <b:Publisher>Universidad Potificia Bolivariana </b:Publisher>
    <b:City>Bucaramanga </b:City>
    <b:Author>
      <b:Author>
        <b:NameList>
          <b:Person>
            <b:Last>Ariza Rojas </b:Last>
            <b:Middle>Alejandro </b:Middle>
            <b:First>Cesár </b:First>
          </b:Person>
        </b:NameList>
      </b:Author>
    </b:Author>
    <b:RefOrder>26</b:RefOrder>
  </b:Source>
  <b:Source>
    <b:Tag>Oku05</b:Tag>
    <b:SourceType>Report</b:SourceType>
    <b:Guid>{8B99063E-1CB9-4D52-BF07-94B8E355C15B}</b:Guid>
    <b:Title>Métodos en investigación cualitativa: triangulación</b:Title>
    <b:Year>2005</b:Year>
    <b:Publisher>Pontificia Universidad Javeriana </b:Publisher>
    <b:City>Bogota </b:City>
    <b:Author>
      <b:Author>
        <b:NameList>
          <b:Person>
            <b:Last>Okuda Benavides</b:Last>
            <b:First>Mayumi </b:First>
          </b:Person>
          <b:Person>
            <b:Last>Gómez Restrepo</b:Last>
            <b:First>Carlos </b:First>
          </b:Person>
        </b:NameList>
      </b:Author>
    </b:Author>
    <b:RefOrder>30</b:RefOrder>
  </b:Source>
  <b:Source>
    <b:Tag>Ces20</b:Tag>
    <b:SourceType>Report</b:SourceType>
    <b:Guid>{CF64B58D-726A-4E6E-BA29-3CFF3DDDFE85}</b:Guid>
    <b:Author>
      <b:Author>
        <b:NameList>
          <b:Person>
            <b:Last>Cesár Alejandro</b:Last>
            <b:First>Ariza</b:First>
            <b:Middle>Rojas</b:Middle>
          </b:Person>
        </b:NameList>
      </b:Author>
    </b:Author>
    <b:Title>Analisis de la articulacion de los actores que conforman el ecosistema regional de  innovacion en Santander</b:Title>
    <b:Year>2020</b:Year>
    <b:City>Bucaramanga </b:City>
    <b:Publisher>Universidad Pontificia Bolivariana</b:Publisher>
    <b:RefOrder>57</b:RefOrder>
  </b:Source>
  <b:Source>
    <b:Tag>Org10</b:Tag>
    <b:SourceType>Report</b:SourceType>
    <b:Guid>{0F9EFEE4-D2FB-4BF3-A766-3F157020F806}</b:Guid>
    <b:Author>
      <b:Author>
        <b:Corporate>Organización para la Cooperación y el Desarrollo Económicos (OCDE)</b:Corporate>
      </b:Author>
    </b:Author>
    <b:Title>La estrategia de innovación de la OCDE: Lograr una recuperación fuerte y sostenible.</b:Title>
    <b:Year>2010</b:Year>
    <b:Publisher>OCDE Publishing</b:Publisher>
    <b:RefOrder>31</b:RefOrder>
  </b:Source>
  <b:Source>
    <b:Tag>REA25</b:Tag>
    <b:SourceType>InternetSite</b:SourceType>
    <b:Guid>{8831BAAE-FE33-4E53-8F00-BD2A9C5674F1}</b:Guid>
    <b:Title> Diccionario de la lengua española, 23.ª ed., [versión 23.8 en línea]</b:Title>
    <b:Year>2025</b:Year>
    <b:Author>
      <b:Author>
        <b:Corporate>REAL ACADEMIA ESPAÑOLA:</b:Corporate>
      </b:Author>
    </b:Author>
    <b:Month>03</b:Month>
    <b:Day>24</b:Day>
    <b:URL>https://dle.rae.es</b:URL>
    <b:RefOrder>12</b:RefOrder>
  </b:Source>
  <b:Source>
    <b:Tag>Pér15</b:Tag>
    <b:SourceType>JournalArticle</b:SourceType>
    <b:Guid>{8E68057F-3C32-4A98-A5FF-2D179817DFE4}</b:Guid>
    <b:Title>SISTEMA REGIONAL DE INNOVACIÓN PARA EL DESARROLLOTERRITORIAL: PROPUESTA DE MODELO CUÁDRUPLE HÉLICE EN COLOMBIA </b:Title>
    <b:JournalName>Revista Brasileira de Planejamento e Desenvolvimento </b:JournalName>
    <b:Year>2015</b:Year>
    <b:Pages>40-64</b:Pages>
    <b:Author>
      <b:Author>
        <b:NameList>
          <b:Person>
            <b:Last>Pérez Castaño </b:Last>
            <b:Middle> Javier </b:Middle>
            <b:First>Bernardo</b:First>
          </b:Person>
          <b:Person>
            <b:Last> Bermúdez Quintana</b:Last>
            <b:Middle>María</b:Middle>
            <b:First>Elba </b:First>
          </b:Person>
        </b:NameList>
      </b:Author>
    </b:Author>
    <b:RefOrder>34</b:RefOrder>
  </b:Source>
  <b:Source>
    <b:Tag>Vel19</b:Tag>
    <b:SourceType>Report</b:SourceType>
    <b:Guid>{C122385F-3771-4269-BB67-2F3D7D09B09E}</b:Guid>
    <b:Author>
      <b:Author>
        <b:NameList>
          <b:Person>
            <b:Last>Velandia</b:Last>
            <b:First>Juliana</b:First>
          </b:Person>
          <b:Person>
            <b:Last>Zapata</b:Last>
            <b:First>Sandra</b:First>
          </b:Person>
        </b:NameList>
      </b:Author>
    </b:Author>
    <b:Title>UNA MIRADA AL SISTEMA DE INNOVACIÓN PANELERO DE LA REGIÓN DE CUNDINAMARCA</b:Title>
    <b:JournalName>Universidad Externado de Colombia</b:JournalName>
    <b:Year>2019</b:Year>
    <b:Publisher>Universidad Externado de Colombia</b:Publisher>
    <b:City>Bogota, D.C</b:City>
    <b:RefOrder>35</b:RefOrder>
  </b:Source>
  <b:Source>
    <b:Tag>DAN24</b:Tag>
    <b:SourceType>Report</b:SourceType>
    <b:Guid>{F806FF98-A22F-485C-AB1E-7824882888B3}</b:Guid>
    <b:Author>
      <b:Author>
        <b:Corporate>DANE </b:Corporate>
      </b:Author>
    </b:Author>
    <b:Title>Encuesta de Desarrollo e Innovación Tecnológica en los Sectores de Servicios y Comercio - EDITS VIII - 2020-2021</b:Title>
    <b:Year>2024</b:Year>
    <b:Publisher>Dirección de Metodología y Producción Estadística - DIMPE</b:Publisher>
    <b:City>Bogotá, D.C</b:City>
    <b:RefOrder>32</b:RefOrder>
  </b:Source>
  <b:Source>
    <b:Tag>DNP21</b:Tag>
    <b:SourceType>Report</b:SourceType>
    <b:Guid>{C2B89C59-D2A2-4E1E-AD54-2A3E6F06EA09}</b:Guid>
    <b:Author>
      <b:Author>
        <b:Corporate>DNP, Departamento Nacional de Planeaccion </b:Corporate>
      </b:Author>
    </b:Author>
    <b:Title>Índice Departamental de Innovación de Colombia 2021</b:Title>
    <b:Year>2021</b:Year>
    <b:City>Bogotá, D.C</b:City>
    <b:RefOrder>33</b:RefOrder>
  </b:Source>
  <b:Source>
    <b:Tag>Fis23</b:Tag>
    <b:SourceType>Report</b:SourceType>
    <b:Guid>{9746F722-ABCF-4F71-A0A8-F691D9FE155A}</b:Guid>
    <b:Title>Informe público presentado por la Fiscalía General de la Nación en cumplimiento a lo ordenado por la Corte Constitucional en el numeral 19 de la Sentencia SU 546 de 2023</b:Title>
    <b:Year>2023</b:Year>
    <b:Author>
      <b:Author>
        <b:Corporate>Fiscalia General de La Nacion </b:Corporate>
      </b:Author>
    </b:Author>
    <b:Publisher>Fiscalia General de La Nacion </b:Publisher>
    <b:City>Bogota </b:City>
    <b:RefOrder>37</b:RefOrder>
  </b:Source>
  <b:Source>
    <b:Tag>Reu25</b:Tag>
    <b:SourceType>InternetSite</b:SourceType>
    <b:Guid>{B80B7F81-220C-4EFB-AB6C-E3F741954921}</b:Guid>
    <b:Author>
      <b:Author>
        <b:Corporate>Reuters</b:Corporate>
      </b:Author>
    </b:Author>
    <b:Title>Con violencia grupos armados ilegales mantienen control territorial y social en Colombia: ONU</b:Title>
    <b:Year>2025</b:Year>
    <b:PeriodicalTitle>Reuters</b:PeriodicalTitle>
    <b:Month>02</b:Month>
    <b:Day>24</b:Day>
    <b:InternetSiteTitle>Reuters</b:InternetSiteTitle>
    <b:URL>https://www.reuters.com/latam/domestico/IGBTEUQUHVIONNMZGXISQX3OMA-2025-02-24/</b:URL>
    <b:RefOrder>38</b:RefOrder>
  </b:Source>
  <b:Source>
    <b:Tag>Jua25</b:Tag>
    <b:SourceType>JournalArticle</b:SourceType>
    <b:Guid>{7A9116B5-4D33-487F-AE45-FC59D0D852BA}</b:Guid>
    <b:Title>Ocho ataques simultáneos de las disidencias asolan al Cauca</b:Title>
    <b:Year>2025</b:Year>
    <b:Author>
      <b:Author>
        <b:NameList>
          <b:Person>
            <b:Last>Bonilla</b:Last>
            <b:First>Juan</b:First>
            <b:Middle>Miguel Hernández</b:Middle>
          </b:Person>
        </b:NameList>
      </b:Author>
    </b:Author>
    <b:JournalName>EL PAIS </b:JournalName>
    <b:RefOrder>39</b:RefOrder>
  </b:Source>
  <b:Source>
    <b:Tag>Jua24</b:Tag>
    <b:SourceType>JournalArticle</b:SourceType>
    <b:Guid>{6A44297F-AF4C-458C-8546-6FA6469CECE3}</b:Guid>
    <b:Author>
      <b:Author>
        <b:NameList>
          <b:Person>
            <b:Last>Bonilla</b:Last>
            <b:First>Juan</b:First>
            <b:Middle>Miguel Hernández</b:Middle>
          </b:Person>
        </b:NameList>
      </b:Author>
    </b:Author>
    <b:Title>La crisis humanitaria en el Catatumbo ya deja 60 muertos, más de 18.000 desplazados y 46.000 niños sin clases, según la ONU</b:Title>
    <b:JournalName>EL PAIS</b:JournalName>
    <b:Year>2024</b:Year>
    <b:RefOrder>40</b:RefOrder>
  </b:Source>
  <b:Source>
    <b:Tag>Hum24</b:Tag>
    <b:SourceType>InternetSite</b:SourceType>
    <b:Guid>{1DD1D80D-2309-4BAD-BAC5-A6431E956B03}</b:Guid>
    <b:Title>Human Rigths Watch</b:Title>
    <b:Year>2024</b:Year>
    <b:Author>
      <b:Author>
        <b:Corporate>Human Rigths Watch</b:Corporate>
      </b:Author>
    </b:Author>
    <b:URL>https://www.hrw.org/es/world-report/2024/country-chapters/colombia</b:URL>
    <b:RefOrder>41</b:RefOrder>
  </b:Source>
  <b:Source>
    <b:Tag>Con24</b:Tag>
    <b:SourceType>Report</b:SourceType>
    <b:Guid>{573524AD-2727-4227-871E-EEB70358CCF6}</b:Guid>
    <b:Author>
      <b:Author>
        <b:Corporate>Concejo Gremial Nacional</b:Corporate>
      </b:Author>
    </b:Author>
    <b:Title>Panorama de seguridad en Colombia: Tendencias recientes de los principales indicadores de seguridad pública y seguridad ciudadana</b:Title>
    <b:Year>2024</b:Year>
    <b:Publisher>Concejo Gremial Nacional</b:Publisher>
    <b:City>Bogota </b:City>
    <b:RefOrder>42</b:RefOrder>
  </b:Source>
  <b:Source>
    <b:Tag>Fun24</b:Tag>
    <b:SourceType>Report</b:SourceType>
    <b:Guid>{E0B865F7-CEFB-465E-B015-01862E61F8C0}</b:Guid>
    <b:Author>
      <b:Author>
        <b:Corporate>Fundacion ideas para la paz </b:Corporate>
      </b:Author>
    </b:Author>
    <b:Title>Informe preliminar sobre el estado de la implementación del Acuerdo de Paz en la subregión PDET Sur de Córdoba </b:Title>
    <b:Year>2024</b:Year>
    <b:RefOrder>43</b:RefOrder>
  </b:Source>
  <b:Source>
    <b:Tag>Mar25</b:Tag>
    <b:SourceType>JournalArticle</b:SourceType>
    <b:Guid>{D03EA1A7-A82F-4EFE-AA24-907DBA6AB549}</b:Guid>
    <b:Title>Informe de seguridad de la Federación Nacional de Departamentos evidencia el fortalecimiento del Eln</b:Title>
    <b:Year>2025</b:Year>
    <b:Author>
      <b:Author>
        <b:NameList>
          <b:Person>
            <b:Last>Duarte</b:Last>
            <b:First>María</b:First>
            <b:Middle>Alejandra González</b:Middle>
          </b:Person>
        </b:NameList>
      </b:Author>
    </b:Author>
    <b:JournalName>EL TIEMPO</b:JournalName>
    <b:RefOrder>44</b:RefOrder>
  </b:Source>
  <b:Source>
    <b:Tag>Dir23</b:Tag>
    <b:SourceType>Report</b:SourceType>
    <b:Guid>{E9DEA363-DC52-4C12-9D42-43DE4CDCD097}</b:Guid>
    <b:Title>Índice de incidencia del conflicto armado IICA</b:Title>
    <b:Year>2023</b:Year>
    <b:Author>
      <b:Author>
        <b:Corporate>Dirección de Gobierno, Derechos Humanos y Paz</b:Corporate>
      </b:Author>
    </b:Author>
    <b:Publisher>Dirección de Gobierno, Derechos Humanos y Paz</b:Publisher>
    <b:City>Bogota</b:City>
    <b:RefOrder>45</b:RefOrder>
  </b:Source>
  <b:Source>
    <b:Tag>Min241</b:Tag>
    <b:SourceType>Report</b:SourceType>
    <b:Guid>{13955565-8B10-4464-BA00-EC6FD16A5E6B}</b:Guid>
    <b:Author>
      <b:Author>
        <b:Corporate> Ministerio de Tecnologías de la Información y las Comunicaciones </b:Corporate>
      </b:Author>
    </b:Author>
    <b:Title>Índice de Brecha Digital 2023</b:Title>
    <b:Year>2024</b:Year>
    <b:Publisher> Ministerio de Tecnologías de la Información y las Comunicaciones</b:Publisher>
    <b:City>Bogota</b:City>
    <b:RefOrder>46</b:RefOrder>
  </b:Source>
  <b:Source>
    <b:Tag>Clú04</b:Tag>
    <b:SourceType>Report</b:SourceType>
    <b:Guid>{A93A4094-3402-4D26-995E-3B6DF2A7EFA1}</b:Guid>
    <b:Author>
      <b:Author>
        <b:Corporate>Clúster de Proteccion Colombia </b:Corporate>
      </b:Author>
    </b:Author>
    <b:Title>Análisis de las tendencias sobre riesgos de protección relacionados con el conflicto armado y desastres naturales  </b:Title>
    <b:Year>204</b:Year>
    <b:RefOrder>47</b:RefOrder>
  </b:Source>
  <b:Source>
    <b:Tag>Min22</b:Tag>
    <b:SourceType>Report</b:SourceType>
    <b:Guid>{B524D176-D149-4917-B3C8-00BF158ED49B}</b:Guid>
    <b:Title>Gobierno radicó presupuesto de regalías 2023-2024: el proyecto alcanza los $31,3 billones, un 2,1% del PIB</b:Title>
    <b:Year>2022</b:Year>
    <b:Author>
      <b:Author>
        <b:Corporate>Ministerio de Hacienda</b:Corporate>
      </b:Author>
    </b:Author>
    <b:RefOrder>51</b:RefOrder>
  </b:Source>
  <b:Source>
    <b:Tag>Min1</b:Tag>
    <b:SourceType>InternetSite</b:SourceType>
    <b:Guid>{725996FD-1A89-4ED6-BC6D-01E614FA58D4}</b:Guid>
    <b:Title>Plan de convocatorias ACTeI 2023-2024</b:Title>
    <b:Author>
      <b:Author>
        <b:Corporate>Ministerio de ciencia, tecnologia e innovacion </b:Corporate>
      </b:Author>
    </b:Author>
    <b:URL>https://minciencias.gov.co/plan-convocatorias-actei-2023-2024?page=2</b:URL>
    <b:RefOrder>52</b:RefOrder>
  </b:Source>
  <b:Source>
    <b:Tag>Min242</b:Tag>
    <b:SourceType>Report</b:SourceType>
    <b:Guid>{87DF4AEC-D2C3-421B-9E76-9C4D8CF13EC4}</b:Guid>
    <b:Title>Proyecto Nacional de Fibra Óptica</b:Title>
    <b:Year>2024</b:Year>
    <b:Author>
      <b:Author>
        <b:Corporate>Ministerio de Tecnologías de la Información y las Comunicaciones</b:Corporate>
      </b:Author>
    </b:Author>
    <b:Publisher>Ministerio de Tecnologías de la Información y las Comunicaciones</b:Publisher>
    <b:City>Bogota </b:City>
    <b:RefOrder>48</b:RefOrder>
  </b:Source>
  <b:Source>
    <b:Tag>Min20</b:Tag>
    <b:SourceType>Report</b:SourceType>
    <b:Guid>{4F0F22F0-3CFE-4511-9FD8-834EEDFCEB08}</b:Guid>
    <b:Author>
      <b:Author>
        <b:Corporate>Ministerio de Tecnologías de la Información y las Comunicaciones</b:Corporate>
      </b:Author>
    </b:Author>
    <b:Title>En 13 departamentos ya operan las Zonas Digitales Urbanas que llevan Internet gratuito a la población</b:Title>
    <b:Year>2020</b:Year>
    <b:Publisher>En 13 departamentos ya operan las Zonas Digitales Urbanas que llevan Internet gratuito a la población</b:Publisher>
    <b:City>Bogota</b:City>
    <b:RefOrder>49</b:RefOrder>
  </b:Source>
  <b:Source>
    <b:Tag>SIi23</b:Tag>
    <b:SourceType>Report</b:SourceType>
    <b:Guid>{70243BA7-8897-4342-8160-A6A3A91DBC99}</b:Guid>
    <b:Author>
      <b:Author>
        <b:Corporate>SIistema nacioanal de informacion de la educacion superior </b:Corporate>
      </b:Author>
    </b:Author>
    <b:Title>Bases consolidadas</b:Title>
    <b:Year>2023</b:Year>
    <b:Publisher>SIistema nacioanal de informacion de la educacion superior </b:Publisher>
    <b:City>Bogota </b:City>
    <b:RefOrder>58</b:RefOrder>
  </b:Source>
  <b:Source>
    <b:Tag>Sup23</b:Tag>
    <b:SourceType>Report</b:SourceType>
    <b:Guid>{2BBB12C2-BC66-492D-84EE-9B730088C368}</b:Guid>
    <b:Author>
      <b:Author>
        <b:Corporate>Super intendencia de industria y comercio </b:Corporate>
      </b:Author>
    </b:Author>
    <b:Title>Estadisticas 2023 Nuevas creaciones</b:Title>
    <b:Year>2023</b:Year>
    <b:Publisher>Super intendencia de industria y comercio </b:Publisher>
    <b:City>Bogota</b:City>
    <b:RefOrder>59</b:RefOrder>
  </b:Source>
  <b:Source>
    <b:Tag>Dep23</b:Tag>
    <b:SourceType>Report</b:SourceType>
    <b:Guid>{07A02561-275B-4946-99C5-286F344D6D3C}</b:Guid>
    <b:Author>
      <b:Author>
        <b:Corporate>Departamento Nacional de Planeación </b:Corporate>
      </b:Author>
    </b:Author>
    <b:Title>REGIONALIZACIÓN DE LA INVERSIÓN 2024 Primer debate </b:Title>
    <b:Year>2023</b:Year>
    <b:Publisher>Departamento Nacional de Planeación </b:Publisher>
    <b:City>Bogota </b:City>
    <b:RefOrder>50</b:RefOrder>
  </b:Source>
  <b:Source>
    <b:Tag>con24</b:Tag>
    <b:SourceType>Report</b:SourceType>
    <b:Guid>{AB4C96D8-51E3-41C8-B05C-625C874739AE}</b:Guid>
    <b:Author>
      <b:Author>
        <b:Corporate>consejo privado de competitividad &amp; score-universidad del rosario</b:Corporate>
      </b:Author>
    </b:Author>
    <b:Title>Indice Departamental de Competitividad </b:Title>
    <b:Year>2024</b:Year>
    <b:Publisher>consejo privado de competitividad &amp; score-universidad del rosario</b:Publisher>
    <b:City>Bogota</b:City>
    <b:RefOrder>60</b:RefOrder>
  </b:Source>
  <b:Source>
    <b:Tag>Dep231</b:Tag>
    <b:SourceType>Report</b:SourceType>
    <b:Guid>{6D99B189-BA75-4C61-B699-6E899649C902}</b:Guid>
    <b:Author>
      <b:Author>
        <b:Corporate>Departamento de Planeacion Nacional </b:Corporate>
      </b:Author>
    </b:Author>
    <b:Title>Resumen ejecutivo del Índice Departamental de Innovación para Colombia 2022</b:Title>
    <b:Year>2023</b:Year>
    <b:Publisher>Departamento de Planeacion Nacional </b:Publisher>
    <b:City>Bogota </b:City>
    <b:RefOrder>61</b:RefOrder>
  </b:Source>
</b:Sources>
</file>

<file path=customXml/itemProps1.xml><?xml version="1.0" encoding="utf-8"?>
<ds:datastoreItem xmlns:ds="http://schemas.openxmlformats.org/officeDocument/2006/customXml" ds:itemID="{54D3E0CE-62DB-4832-997B-C9C303DB5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29</Pages>
  <Words>8847</Words>
  <Characters>48659</Characters>
  <Application>Microsoft Office Word</Application>
  <DocSecurity>0</DocSecurity>
  <Lines>405</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Leidy Perez</dc:creator>
  <cp:keywords/>
  <dc:description/>
  <cp:lastModifiedBy>User</cp:lastModifiedBy>
  <cp:revision>6</cp:revision>
  <dcterms:created xsi:type="dcterms:W3CDTF">2025-04-03T16:25:00Z</dcterms:created>
  <dcterms:modified xsi:type="dcterms:W3CDTF">2025-04-03T17:04:00Z</dcterms:modified>
</cp:coreProperties>
</file>